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17A7B">
      <w:pPr>
        <w:spacing w:after="0" w:line="600" w:lineRule="exact"/>
        <w:jc w:val="center"/>
        <w:rPr>
          <w:rFonts w:ascii="方正小标宋简体" w:eastAsia="方正小标宋简体"/>
          <w:sz w:val="42"/>
          <w:szCs w:val="42"/>
          <w:lang w:eastAsia="zh-CN"/>
        </w:rPr>
      </w:pPr>
    </w:p>
    <w:p w14:paraId="0D4A22CE">
      <w:pPr>
        <w:spacing w:line="600" w:lineRule="exact"/>
        <w:jc w:val="center"/>
        <w:rPr>
          <w:rFonts w:hint="default" w:ascii="楷体_GB2312" w:eastAsia="楷体_GB2312"/>
          <w:sz w:val="30"/>
          <w:szCs w:val="30"/>
          <w:lang w:val="en-US" w:eastAsia="zh-CN"/>
        </w:rPr>
      </w:pPr>
      <w:r>
        <w:rPr>
          <w:rFonts w:hint="eastAsia" w:ascii="方正小标宋简体" w:eastAsia="方正小标宋简体"/>
          <w:sz w:val="42"/>
          <w:szCs w:val="42"/>
          <w:lang w:val="en-US" w:eastAsia="zh-CN"/>
        </w:rPr>
        <w:t>关</w:t>
      </w:r>
      <w:r>
        <w:rPr>
          <w:rFonts w:hint="eastAsia" w:ascii="方正小标宋简体" w:eastAsia="方正小标宋简体"/>
          <w:b w:val="0"/>
          <w:bCs w:val="0"/>
          <w:sz w:val="42"/>
          <w:szCs w:val="42"/>
          <w:lang w:val="en-US" w:eastAsia="zh-CN"/>
        </w:rPr>
        <w:t>于公开征求《东莞</w:t>
      </w:r>
      <w:r>
        <w:rPr>
          <w:rFonts w:hint="eastAsia" w:ascii="方正小标宋简体" w:eastAsia="方正小标宋简体"/>
          <w:sz w:val="42"/>
          <w:szCs w:val="42"/>
          <w:lang w:val="en-US" w:eastAsia="zh-CN"/>
        </w:rPr>
        <w:t>市城市基础设施配套费征收管理规定》意见反馈</w:t>
      </w:r>
      <w:r>
        <w:rPr>
          <w:rFonts w:hint="eastAsia" w:ascii="方正小标宋简体" w:eastAsia="方正小标宋简体"/>
          <w:sz w:val="42"/>
          <w:szCs w:val="42"/>
          <w:lang w:eastAsia="zh-CN"/>
        </w:rPr>
        <w:t>意见</w:t>
      </w:r>
      <w:r>
        <w:rPr>
          <w:rFonts w:hint="eastAsia" w:ascii="方正小标宋简体" w:eastAsia="方正小标宋简体"/>
          <w:sz w:val="42"/>
          <w:szCs w:val="42"/>
          <w:lang w:val="en-US" w:eastAsia="zh-CN"/>
        </w:rPr>
        <w:t>的回复</w:t>
      </w:r>
    </w:p>
    <w:tbl>
      <w:tblPr>
        <w:tblStyle w:val="18"/>
        <w:tblW w:w="15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23"/>
        <w:gridCol w:w="2835"/>
        <w:gridCol w:w="850"/>
      </w:tblGrid>
      <w:tr w14:paraId="0FD7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1701" w:type="dxa"/>
            <w:vAlign w:val="center"/>
          </w:tcPr>
          <w:p w14:paraId="16BFA8BA">
            <w:pPr>
              <w:spacing w:after="0" w:line="360" w:lineRule="exact"/>
              <w:jc w:val="center"/>
              <w:rPr>
                <w:rFonts w:ascii="黑体" w:hAnsi="黑体" w:eastAsia="黑体"/>
                <w:sz w:val="28"/>
                <w:szCs w:val="28"/>
                <w:lang w:eastAsia="zh-CN"/>
              </w:rPr>
            </w:pPr>
            <w:r>
              <w:rPr>
                <w:rFonts w:hint="eastAsia" w:ascii="黑体" w:hAnsi="黑体" w:eastAsia="黑体"/>
                <w:sz w:val="28"/>
                <w:szCs w:val="28"/>
                <w:lang w:eastAsia="zh-CN"/>
              </w:rPr>
              <w:t>征求人员</w:t>
            </w:r>
          </w:p>
        </w:tc>
        <w:tc>
          <w:tcPr>
            <w:tcW w:w="9923" w:type="dxa"/>
            <w:vAlign w:val="center"/>
          </w:tcPr>
          <w:p w14:paraId="0C54CBBF">
            <w:pPr>
              <w:spacing w:after="0" w:line="360" w:lineRule="exact"/>
              <w:jc w:val="center"/>
              <w:rPr>
                <w:rFonts w:ascii="黑体" w:hAnsi="黑体" w:eastAsia="黑体"/>
                <w:sz w:val="28"/>
                <w:szCs w:val="28"/>
                <w:lang w:eastAsia="zh-CN"/>
              </w:rPr>
            </w:pPr>
            <w:r>
              <w:rPr>
                <w:rFonts w:hint="eastAsia" w:ascii="黑体" w:hAnsi="黑体" w:eastAsia="黑体"/>
                <w:sz w:val="28"/>
                <w:szCs w:val="28"/>
                <w:lang w:eastAsia="zh-CN"/>
              </w:rPr>
              <w:t>意见</w:t>
            </w:r>
          </w:p>
        </w:tc>
        <w:tc>
          <w:tcPr>
            <w:tcW w:w="2835" w:type="dxa"/>
            <w:vAlign w:val="center"/>
          </w:tcPr>
          <w:p w14:paraId="77436374">
            <w:pPr>
              <w:spacing w:after="0" w:line="360" w:lineRule="exact"/>
              <w:jc w:val="center"/>
              <w:rPr>
                <w:rFonts w:ascii="黑体" w:hAnsi="黑体" w:eastAsia="黑体"/>
                <w:sz w:val="28"/>
                <w:szCs w:val="28"/>
                <w:lang w:eastAsia="zh-CN"/>
              </w:rPr>
            </w:pPr>
            <w:r>
              <w:rPr>
                <w:rFonts w:hint="eastAsia" w:ascii="黑体" w:hAnsi="黑体" w:eastAsia="黑体"/>
                <w:sz w:val="28"/>
                <w:szCs w:val="28"/>
                <w:lang w:eastAsia="zh-CN"/>
              </w:rPr>
              <w:t>采纳情况</w:t>
            </w:r>
          </w:p>
        </w:tc>
        <w:tc>
          <w:tcPr>
            <w:tcW w:w="850" w:type="dxa"/>
            <w:vAlign w:val="center"/>
          </w:tcPr>
          <w:p w14:paraId="4EEB2A7A">
            <w:pPr>
              <w:spacing w:after="0" w:line="360" w:lineRule="exact"/>
              <w:jc w:val="center"/>
              <w:rPr>
                <w:rFonts w:ascii="黑体" w:hAnsi="黑体" w:eastAsia="黑体"/>
                <w:sz w:val="28"/>
                <w:szCs w:val="28"/>
                <w:lang w:eastAsia="zh-CN"/>
              </w:rPr>
            </w:pPr>
            <w:r>
              <w:rPr>
                <w:rFonts w:hint="eastAsia" w:ascii="黑体" w:hAnsi="黑体" w:eastAsia="黑体"/>
                <w:sz w:val="28"/>
                <w:szCs w:val="28"/>
                <w:lang w:eastAsia="zh-CN"/>
              </w:rPr>
              <w:t>备注</w:t>
            </w:r>
          </w:p>
        </w:tc>
      </w:tr>
      <w:tr w14:paraId="118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06EF236D">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匿名。IP：28.255.249.20</w:t>
            </w:r>
          </w:p>
        </w:tc>
        <w:tc>
          <w:tcPr>
            <w:tcW w:w="9923" w:type="dxa"/>
            <w:vAlign w:val="center"/>
          </w:tcPr>
          <w:p w14:paraId="07C375E8">
            <w:pPr>
              <w:spacing w:after="0" w:line="390" w:lineRule="exact"/>
              <w:jc w:val="both"/>
              <w:rPr>
                <w:rFonts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基础设施配套费征收是可以，像住宅你们的设施是要做到水电井处，水务、供电、通信、燃气你们包设计、施工、验收，不要只做到地块边界。我接过的项目，像供电部分，本来有些高压设备是供电局投资的，但是他们又说没有资金，然后我们出资处理，出资没问题，但验收这样不行那样不行。还有三合一的通信，弱电机房到住户家的部分是三不管地带。</w:t>
            </w:r>
          </w:p>
        </w:tc>
        <w:tc>
          <w:tcPr>
            <w:tcW w:w="2835" w:type="dxa"/>
            <w:vAlign w:val="center"/>
          </w:tcPr>
          <w:p w14:paraId="205B9295">
            <w:pPr>
              <w:keepNext w:val="0"/>
              <w:keepLines w:val="0"/>
              <w:widowControl/>
              <w:suppressLineNumbers w:val="0"/>
              <w:jc w:val="left"/>
              <w:rPr>
                <w:rFonts w:hint="eastAsia" w:ascii="Times New Roman" w:hAnsi="Times New Roman" w:cs="Times New Roman" w:eastAsiaTheme="minorEastAsia"/>
                <w:sz w:val="28"/>
                <w:szCs w:val="28"/>
                <w:lang w:val="en-US" w:eastAsia="zh-CN"/>
              </w:rPr>
            </w:pPr>
            <w:r>
              <w:rPr>
                <w:rFonts w:hint="eastAsia"/>
                <w:lang w:val="en-US" w:eastAsia="zh-CN"/>
              </w:rPr>
              <w:t>不采纳。理由是</w:t>
            </w:r>
            <w:r>
              <w:rPr>
                <w:rFonts w:hint="eastAsia"/>
              </w:rPr>
              <w:t>城市基础设施配套费是指城市人民政府征收的专项用于城市道路、桥涵、给排水、路灯照明、环卫设施、园林绿化、消防、城市防洪等城市基础设施建设、管理和维护的资金</w:t>
            </w:r>
            <w:r>
              <w:rPr>
                <w:rFonts w:hint="eastAsia"/>
                <w:lang w:eastAsia="zh-CN"/>
              </w:rPr>
              <w:t>。</w:t>
            </w:r>
          </w:p>
        </w:tc>
        <w:tc>
          <w:tcPr>
            <w:tcW w:w="850" w:type="dxa"/>
            <w:vAlign w:val="center"/>
          </w:tcPr>
          <w:p w14:paraId="27557A16">
            <w:pPr>
              <w:spacing w:after="0" w:line="400" w:lineRule="exact"/>
              <w:jc w:val="both"/>
              <w:rPr>
                <w:rFonts w:ascii="Times New Roman" w:hAnsi="Times New Roman" w:eastAsia="仿宋_GB2312" w:cs="Times New Roman"/>
                <w:sz w:val="28"/>
                <w:szCs w:val="28"/>
                <w:lang w:eastAsia="zh-CN"/>
              </w:rPr>
            </w:pPr>
          </w:p>
        </w:tc>
      </w:tr>
      <w:tr w14:paraId="5267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31C04C49">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5806B722">
            <w:pPr>
              <w:spacing w:after="0" w:line="390" w:lineRule="exact"/>
              <w:jc w:val="both"/>
              <w:rPr>
                <w:rFonts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请问一下政府，这个配套费在现阶段整体社会经济形势严峻，房地产投资热度不高的情况下，这个时候收取配套费会不会增加企业负担？然后开发商把成本算在购房者的成本上？如果是这样政府是否应该给与企业</w:t>
            </w:r>
            <w:r>
              <w:rPr>
                <w:rFonts w:hint="eastAsia" w:ascii="Times New Roman" w:hAnsi="Times New Roman" w:eastAsia="仿宋_GB2312" w:cs="Times New Roman"/>
                <w:b/>
                <w:bCs/>
                <w:sz w:val="28"/>
                <w:szCs w:val="28"/>
                <w:lang w:eastAsia="zh-CN"/>
              </w:rPr>
              <w:t>出台更多利好政策</w:t>
            </w:r>
            <w:r>
              <w:rPr>
                <w:rFonts w:hint="eastAsia" w:ascii="Times New Roman" w:hAnsi="Times New Roman" w:eastAsia="仿宋_GB2312" w:cs="Times New Roman"/>
                <w:sz w:val="28"/>
                <w:szCs w:val="28"/>
                <w:lang w:eastAsia="zh-CN"/>
              </w:rPr>
              <w:t>促进经济。</w:t>
            </w:r>
          </w:p>
        </w:tc>
        <w:tc>
          <w:tcPr>
            <w:tcW w:w="2835" w:type="dxa"/>
            <w:vAlign w:val="center"/>
          </w:tcPr>
          <w:p w14:paraId="645CBEEC">
            <w:pPr>
              <w:spacing w:after="0" w:line="400" w:lineRule="exact"/>
              <w:jc w:val="both"/>
              <w:rPr>
                <w:rFonts w:hint="default" w:ascii="Times New Roman" w:hAnsi="Times New Roman" w:cs="Times New Roman" w:eastAsiaTheme="minorEastAsia"/>
                <w:sz w:val="28"/>
                <w:szCs w:val="28"/>
                <w:lang w:val="en-US" w:eastAsia="zh-CN"/>
              </w:rPr>
            </w:pPr>
            <w:r>
              <w:rPr>
                <w:rFonts w:hint="eastAsia"/>
                <w:lang w:val="en-US" w:eastAsia="zh-CN"/>
              </w:rPr>
              <w:t>不采纳。理由是</w:t>
            </w:r>
            <w:r>
              <w:rPr>
                <w:rFonts w:hint="eastAsia"/>
              </w:rPr>
              <w:t>城市基础设施配套费</w:t>
            </w:r>
            <w:r>
              <w:t>是</w:t>
            </w:r>
            <w:r>
              <w:rPr>
                <w:rFonts w:hint="eastAsia"/>
                <w:lang w:val="en-US" w:eastAsia="zh-CN"/>
              </w:rPr>
              <w:t>属于政府性基金，</w:t>
            </w:r>
            <w:r>
              <w:rPr>
                <w:rFonts w:hint="eastAsia"/>
                <w:lang w:eastAsia="zh-CN"/>
              </w:rPr>
              <w:t>根据《广东省物价局 广东省财政厅关于调低城市基础设施配套费标准的通知》（粤价〔2003〕160号）</w:t>
            </w:r>
            <w:r>
              <w:rPr>
                <w:rFonts w:hint="eastAsia"/>
                <w:lang w:val="en-US" w:eastAsia="zh-CN"/>
              </w:rPr>
              <w:t>等相关政策文件</w:t>
            </w:r>
            <w:r>
              <w:rPr>
                <w:rFonts w:hint="eastAsia"/>
                <w:lang w:eastAsia="zh-CN"/>
              </w:rPr>
              <w:t>，我市城市基础设施配套费的标准</w:t>
            </w:r>
            <w:r>
              <w:rPr>
                <w:rFonts w:hint="eastAsia"/>
                <w:lang w:val="en-US" w:eastAsia="zh-CN"/>
              </w:rPr>
              <w:t>一直以来都是</w:t>
            </w:r>
            <w:r>
              <w:rPr>
                <w:rFonts w:hint="eastAsia"/>
                <w:lang w:eastAsia="zh-CN"/>
              </w:rPr>
              <w:t>按照工程造价的4%收取，</w:t>
            </w:r>
            <w:r>
              <w:rPr>
                <w:rFonts w:hint="eastAsia"/>
              </w:rPr>
              <w:t>单位建筑面积平均基建投资额</w:t>
            </w:r>
            <w:r>
              <w:rPr>
                <w:rFonts w:hint="eastAsia"/>
                <w:lang w:val="en-US" w:eastAsia="zh-CN"/>
              </w:rPr>
              <w:t>须结合市场物价等因素进行调节。</w:t>
            </w:r>
          </w:p>
        </w:tc>
        <w:tc>
          <w:tcPr>
            <w:tcW w:w="850" w:type="dxa"/>
            <w:vAlign w:val="center"/>
          </w:tcPr>
          <w:p w14:paraId="13A857E7">
            <w:pPr>
              <w:spacing w:after="0" w:line="400" w:lineRule="exact"/>
              <w:jc w:val="both"/>
              <w:rPr>
                <w:rFonts w:ascii="Times New Roman" w:hAnsi="Times New Roman" w:eastAsia="仿宋_GB2312" w:cs="Times New Roman"/>
                <w:sz w:val="28"/>
                <w:szCs w:val="28"/>
                <w:lang w:eastAsia="zh-CN"/>
              </w:rPr>
            </w:pPr>
            <w:bookmarkStart w:id="0" w:name="_GoBack"/>
            <w:bookmarkEnd w:id="0"/>
          </w:p>
        </w:tc>
      </w:tr>
      <w:tr w14:paraId="4DB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61C2321D">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29C70D04">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城市配套费，是否有专款专户仅用于提升基础设施配套呢？ 感觉只有松山湖和市政府周边的基础设施配套比较好，城区非中心地段还是有待提升。 城市配套费在性质上不属于行政事业性收费，而属于政府性基金，是否可以根据情况可申请分期付款。</w:t>
            </w:r>
          </w:p>
        </w:tc>
        <w:tc>
          <w:tcPr>
            <w:tcW w:w="2835" w:type="dxa"/>
            <w:vAlign w:val="center"/>
          </w:tcPr>
          <w:p w14:paraId="004242AA">
            <w:pPr>
              <w:keepNext w:val="0"/>
              <w:keepLines w:val="0"/>
              <w:widowControl/>
              <w:suppressLineNumbers w:val="0"/>
              <w:jc w:val="left"/>
              <w:rPr>
                <w:rFonts w:hint="eastAsia" w:ascii="Times New Roman" w:hAnsi="Times New Roman" w:cs="Times New Roman" w:eastAsiaTheme="minorEastAsia"/>
                <w:sz w:val="28"/>
                <w:szCs w:val="28"/>
                <w:lang w:val="en-US" w:eastAsia="zh-CN"/>
              </w:rPr>
            </w:pPr>
            <w:r>
              <w:rPr>
                <w:rFonts w:hint="eastAsia"/>
                <w:lang w:val="en-US" w:eastAsia="zh-CN"/>
              </w:rPr>
              <w:t>不采纳。理由是</w:t>
            </w:r>
            <w:r>
              <w:rPr>
                <w:rFonts w:hint="eastAsia"/>
              </w:rPr>
              <w:t>城市基础设施配套费是指城市人民政府征收的专项用于城市道路、桥涵、给排水、路灯照明、环卫设施、园林绿化、消防、城市防洪等城市基础设施建设、管理和维护的资金</w:t>
            </w:r>
            <w:r>
              <w:rPr>
                <w:rFonts w:hint="eastAsia"/>
                <w:lang w:eastAsia="zh-CN"/>
              </w:rPr>
              <w:t>。</w:t>
            </w:r>
            <w:r>
              <w:rPr>
                <w:rFonts w:hint="eastAsia"/>
                <w:lang w:val="en-US" w:eastAsia="zh-CN"/>
              </w:rPr>
              <w:t>市财政部门依照规定负责征收、使用管理和监督</w:t>
            </w:r>
            <w:r>
              <w:rPr>
                <w:rFonts w:hint="eastAsia"/>
                <w:lang w:eastAsia="zh-CN"/>
              </w:rPr>
              <w:t>。</w:t>
            </w:r>
            <w:r>
              <w:rPr>
                <w:rFonts w:hint="eastAsia"/>
                <w:lang w:val="en-US" w:eastAsia="zh-CN"/>
              </w:rPr>
              <w:t>无政策支持</w:t>
            </w:r>
            <w:r>
              <w:rPr>
                <w:rFonts w:hint="eastAsia"/>
                <w:lang w:eastAsia="zh-CN"/>
              </w:rPr>
              <w:t>分期付款。</w:t>
            </w:r>
          </w:p>
        </w:tc>
        <w:tc>
          <w:tcPr>
            <w:tcW w:w="850" w:type="dxa"/>
            <w:vAlign w:val="center"/>
          </w:tcPr>
          <w:p w14:paraId="2404BD9F">
            <w:pPr>
              <w:spacing w:after="0" w:line="400" w:lineRule="exact"/>
              <w:jc w:val="both"/>
              <w:rPr>
                <w:rFonts w:ascii="Times New Roman" w:hAnsi="Times New Roman" w:eastAsia="仿宋_GB2312" w:cs="Times New Roman"/>
                <w:sz w:val="28"/>
                <w:szCs w:val="28"/>
                <w:lang w:eastAsia="zh-CN"/>
              </w:rPr>
            </w:pPr>
          </w:p>
        </w:tc>
      </w:tr>
      <w:tr w14:paraId="662F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36D8CFF1">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7E079737">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企业在获取地块项目时要求配建的</w:t>
            </w:r>
            <w:r>
              <w:rPr>
                <w:rFonts w:hint="eastAsia" w:ascii="Times New Roman" w:hAnsi="Times New Roman" w:eastAsia="仿宋_GB2312" w:cs="Times New Roman"/>
                <w:b/>
                <w:bCs/>
                <w:sz w:val="28"/>
                <w:szCs w:val="28"/>
                <w:lang w:eastAsia="zh-CN"/>
              </w:rPr>
              <w:t>教育设施及配套设施</w:t>
            </w:r>
            <w:r>
              <w:rPr>
                <w:rFonts w:hint="eastAsia" w:ascii="Times New Roman" w:hAnsi="Times New Roman" w:eastAsia="仿宋_GB2312" w:cs="Times New Roman"/>
                <w:sz w:val="28"/>
                <w:szCs w:val="28"/>
                <w:lang w:eastAsia="zh-CN"/>
              </w:rPr>
              <w:t>，上述设施对应的地价、建安成本以及后续的移交登记所产生的税费均由企业（建设单位）承担，以上配建设施均属于非营利设施，根据以上意见征询，配建设施仍需按要求缴纳城市基础设施配套费，对企业资金成本造成一定压力，是否应设定相应</w:t>
            </w:r>
            <w:r>
              <w:rPr>
                <w:rFonts w:hint="eastAsia" w:ascii="Times New Roman" w:hAnsi="Times New Roman" w:eastAsia="仿宋_GB2312" w:cs="Times New Roman"/>
                <w:b/>
                <w:bCs/>
                <w:sz w:val="28"/>
                <w:szCs w:val="28"/>
                <w:lang w:eastAsia="zh-CN"/>
              </w:rPr>
              <w:t>减免</w:t>
            </w:r>
            <w:r>
              <w:rPr>
                <w:rFonts w:hint="eastAsia" w:ascii="Times New Roman" w:hAnsi="Times New Roman" w:eastAsia="仿宋_GB2312" w:cs="Times New Roman"/>
                <w:sz w:val="28"/>
                <w:szCs w:val="28"/>
                <w:lang w:eastAsia="zh-CN"/>
              </w:rPr>
              <w:t>政策</w:t>
            </w:r>
          </w:p>
        </w:tc>
        <w:tc>
          <w:tcPr>
            <w:tcW w:w="2835" w:type="dxa"/>
            <w:vAlign w:val="center"/>
          </w:tcPr>
          <w:p w14:paraId="655F6118">
            <w:pPr>
              <w:spacing w:after="0" w:line="400" w:lineRule="exact"/>
              <w:jc w:val="both"/>
              <w:rPr>
                <w:rFonts w:hint="default" w:ascii="Times New Roman" w:hAnsi="Times New Roman" w:eastAsia="仿宋_GB2312" w:cs="Times New Roman"/>
                <w:sz w:val="28"/>
                <w:szCs w:val="28"/>
                <w:lang w:val="en-US" w:eastAsia="zh-CN"/>
              </w:rPr>
            </w:pPr>
            <w:r>
              <w:rPr>
                <w:rFonts w:hint="eastAsia"/>
                <w:lang w:val="en-US" w:eastAsia="zh-CN"/>
              </w:rPr>
              <w:t>不采纳。理由是本次制定的《东莞市城市基础设施配套费征收管理规定》已严格落实国家、省的相关减免政策。只有国家、省有权限出台减免政策。</w:t>
            </w:r>
          </w:p>
        </w:tc>
        <w:tc>
          <w:tcPr>
            <w:tcW w:w="850" w:type="dxa"/>
            <w:vAlign w:val="center"/>
          </w:tcPr>
          <w:p w14:paraId="4AE820AB">
            <w:pPr>
              <w:spacing w:after="0" w:line="400" w:lineRule="exact"/>
              <w:jc w:val="both"/>
              <w:rPr>
                <w:rFonts w:ascii="Times New Roman" w:hAnsi="Times New Roman" w:eastAsia="仿宋_GB2312" w:cs="Times New Roman"/>
                <w:sz w:val="28"/>
                <w:szCs w:val="28"/>
                <w:lang w:eastAsia="zh-CN"/>
              </w:rPr>
            </w:pPr>
          </w:p>
        </w:tc>
      </w:tr>
      <w:tr w14:paraId="700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5CB87A69">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7B135E70">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现阶段整体经济形势并不乐观，社会投资热度不高，建议政府应给予企业/个人投资出台更多综合的纾困或利好的政策，而不应该出类似影响投资热度且增加企业/个人负担的政策。</w:t>
            </w:r>
          </w:p>
        </w:tc>
        <w:tc>
          <w:tcPr>
            <w:tcW w:w="2835" w:type="dxa"/>
            <w:vAlign w:val="center"/>
          </w:tcPr>
          <w:p w14:paraId="248A6CCC">
            <w:pPr>
              <w:spacing w:after="0" w:line="400" w:lineRule="exact"/>
              <w:jc w:val="both"/>
              <w:rPr>
                <w:rFonts w:ascii="Times New Roman" w:hAnsi="Times New Roman" w:eastAsia="仿宋_GB2312" w:cs="Times New Roman"/>
                <w:sz w:val="28"/>
                <w:szCs w:val="28"/>
                <w:lang w:eastAsia="zh-CN"/>
              </w:rPr>
            </w:pPr>
            <w:r>
              <w:rPr>
                <w:rFonts w:hint="eastAsia"/>
                <w:lang w:val="en-US" w:eastAsia="zh-CN"/>
              </w:rPr>
              <w:t>不采纳。理由是本次制定的《东莞市城市基础设施配套费征收管理规定》是落实国家、省的相关政策要求。</w:t>
            </w:r>
          </w:p>
        </w:tc>
        <w:tc>
          <w:tcPr>
            <w:tcW w:w="850" w:type="dxa"/>
            <w:vAlign w:val="center"/>
          </w:tcPr>
          <w:p w14:paraId="19C44650">
            <w:pPr>
              <w:spacing w:after="0" w:line="400" w:lineRule="exact"/>
              <w:jc w:val="both"/>
              <w:rPr>
                <w:rFonts w:ascii="Times New Roman" w:hAnsi="Times New Roman" w:eastAsia="仿宋_GB2312" w:cs="Times New Roman"/>
                <w:sz w:val="28"/>
                <w:szCs w:val="28"/>
                <w:lang w:eastAsia="zh-CN"/>
              </w:rPr>
            </w:pPr>
          </w:p>
        </w:tc>
      </w:tr>
      <w:tr w14:paraId="611E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537CE76B">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4EEAA6B6">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我认为</w:t>
            </w:r>
            <w:r>
              <w:rPr>
                <w:rFonts w:hint="eastAsia" w:ascii="Times New Roman" w:hAnsi="Times New Roman" w:eastAsia="仿宋_GB2312" w:cs="Times New Roman"/>
                <w:b/>
                <w:bCs/>
                <w:sz w:val="28"/>
                <w:szCs w:val="28"/>
                <w:lang w:eastAsia="zh-CN"/>
              </w:rPr>
              <w:t>轨道开口费</w:t>
            </w:r>
            <w:r>
              <w:rPr>
                <w:rFonts w:hint="eastAsia" w:ascii="Times New Roman" w:hAnsi="Times New Roman" w:eastAsia="仿宋_GB2312" w:cs="Times New Roman"/>
                <w:sz w:val="28"/>
                <w:szCs w:val="28"/>
                <w:lang w:eastAsia="zh-CN"/>
              </w:rPr>
              <w:t>应该是属于城市配套费的一种，但为什么要另外单独计算，请问有什么依据？前期开发商缴纳双份钱，后期由购房者买单。这政府</w:t>
            </w:r>
            <w:r>
              <w:rPr>
                <w:rFonts w:hint="eastAsia" w:ascii="Times New Roman" w:hAnsi="Times New Roman" w:eastAsia="仿宋_GB2312" w:cs="Times New Roman"/>
                <w:b/>
                <w:bCs/>
                <w:sz w:val="28"/>
                <w:szCs w:val="28"/>
                <w:lang w:eastAsia="zh-CN"/>
              </w:rPr>
              <w:t>双重收费</w:t>
            </w:r>
            <w:r>
              <w:rPr>
                <w:rFonts w:hint="eastAsia" w:ascii="Times New Roman" w:hAnsi="Times New Roman" w:eastAsia="仿宋_GB2312" w:cs="Times New Roman"/>
                <w:sz w:val="28"/>
                <w:szCs w:val="28"/>
                <w:lang w:eastAsia="zh-CN"/>
              </w:rPr>
              <w:t>，个人觉得这部分不合理，政府应该出相应的减免政策。</w:t>
            </w:r>
          </w:p>
        </w:tc>
        <w:tc>
          <w:tcPr>
            <w:tcW w:w="2835" w:type="dxa"/>
            <w:vAlign w:val="center"/>
          </w:tcPr>
          <w:p w14:paraId="01BF9169">
            <w:pPr>
              <w:spacing w:after="0" w:line="400" w:lineRule="exact"/>
              <w:jc w:val="both"/>
              <w:rPr>
                <w:rFonts w:ascii="Times New Roman" w:hAnsi="Times New Roman" w:eastAsia="仿宋_GB2312" w:cs="Times New Roman"/>
                <w:sz w:val="28"/>
                <w:szCs w:val="28"/>
                <w:lang w:eastAsia="zh-CN"/>
              </w:rPr>
            </w:pPr>
            <w:r>
              <w:rPr>
                <w:rFonts w:hint="eastAsia"/>
                <w:lang w:eastAsia="zh-CN"/>
              </w:rPr>
              <w:t>轨道开口费</w:t>
            </w:r>
            <w:r>
              <w:rPr>
                <w:rFonts w:hint="eastAsia"/>
                <w:lang w:val="en-US" w:eastAsia="zh-CN"/>
              </w:rPr>
              <w:t>不属于</w:t>
            </w:r>
            <w:r>
              <w:rPr>
                <w:rFonts w:hint="eastAsia"/>
                <w:lang w:eastAsia="zh-CN"/>
              </w:rPr>
              <w:t>城市基础设施配套费。</w:t>
            </w:r>
          </w:p>
        </w:tc>
        <w:tc>
          <w:tcPr>
            <w:tcW w:w="850" w:type="dxa"/>
            <w:vAlign w:val="center"/>
          </w:tcPr>
          <w:p w14:paraId="0F390E80">
            <w:pPr>
              <w:spacing w:after="0" w:line="400" w:lineRule="exact"/>
              <w:jc w:val="both"/>
              <w:rPr>
                <w:rFonts w:ascii="Times New Roman" w:hAnsi="Times New Roman" w:eastAsia="仿宋_GB2312" w:cs="Times New Roman"/>
                <w:sz w:val="28"/>
                <w:szCs w:val="28"/>
                <w:lang w:eastAsia="zh-CN"/>
              </w:rPr>
            </w:pPr>
          </w:p>
        </w:tc>
      </w:tr>
      <w:tr w14:paraId="3075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7D905035">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3E4F4F06">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建议幼儿园、小学、中学等</w:t>
            </w:r>
            <w:r>
              <w:rPr>
                <w:rFonts w:hint="eastAsia" w:ascii="Times New Roman" w:hAnsi="Times New Roman" w:eastAsia="仿宋_GB2312" w:cs="Times New Roman"/>
                <w:b/>
                <w:bCs/>
                <w:sz w:val="28"/>
                <w:szCs w:val="28"/>
                <w:lang w:eastAsia="zh-CN"/>
              </w:rPr>
              <w:t>教育设施</w:t>
            </w:r>
            <w:r>
              <w:rPr>
                <w:rFonts w:hint="eastAsia" w:ascii="Times New Roman" w:hAnsi="Times New Roman" w:eastAsia="仿宋_GB2312" w:cs="Times New Roman"/>
                <w:sz w:val="28"/>
                <w:szCs w:val="28"/>
                <w:lang w:eastAsia="zh-CN"/>
              </w:rPr>
              <w:t>可以</w:t>
            </w:r>
            <w:r>
              <w:rPr>
                <w:rFonts w:hint="eastAsia" w:ascii="Times New Roman" w:hAnsi="Times New Roman" w:eastAsia="仿宋_GB2312" w:cs="Times New Roman"/>
                <w:b/>
                <w:bCs/>
                <w:sz w:val="28"/>
                <w:szCs w:val="28"/>
                <w:lang w:eastAsia="zh-CN"/>
              </w:rPr>
              <w:t>减免</w:t>
            </w:r>
            <w:r>
              <w:rPr>
                <w:rFonts w:hint="eastAsia" w:ascii="Times New Roman" w:hAnsi="Times New Roman" w:eastAsia="仿宋_GB2312" w:cs="Times New Roman"/>
                <w:sz w:val="28"/>
                <w:szCs w:val="28"/>
                <w:lang w:eastAsia="zh-CN"/>
              </w:rPr>
              <w:t>城市基础设施配套费，理由是：（1）教育设施也是城市基础设施配套项目；（2）房地产开发的居住项目或城市更新项目一般需配建教育设施，再无偿移交给政府，开发商已无偿配建，如还需缴交城市基础设施配套费，开发商需承担双重义务。</w:t>
            </w:r>
          </w:p>
        </w:tc>
        <w:tc>
          <w:tcPr>
            <w:tcW w:w="2835" w:type="dxa"/>
            <w:vAlign w:val="center"/>
          </w:tcPr>
          <w:p w14:paraId="13F50347">
            <w:pPr>
              <w:spacing w:after="0" w:line="400" w:lineRule="exact"/>
              <w:jc w:val="both"/>
              <w:rPr>
                <w:rFonts w:ascii="Times New Roman" w:hAnsi="Times New Roman" w:eastAsia="仿宋_GB2312" w:cs="Times New Roman"/>
                <w:sz w:val="28"/>
                <w:szCs w:val="28"/>
                <w:lang w:eastAsia="zh-CN"/>
              </w:rPr>
            </w:pPr>
            <w:r>
              <w:rPr>
                <w:rFonts w:hint="eastAsia"/>
                <w:lang w:val="en-US" w:eastAsia="zh-CN"/>
              </w:rPr>
              <w:t>不采纳。理由是本次制定的《东莞市城市基础设施配套费征收管理规定》已严格落实国家、省的相关减免政策。只有国家、省有权限出台减免政策。</w:t>
            </w:r>
          </w:p>
        </w:tc>
        <w:tc>
          <w:tcPr>
            <w:tcW w:w="850" w:type="dxa"/>
            <w:vAlign w:val="center"/>
          </w:tcPr>
          <w:p w14:paraId="6329E9C6">
            <w:pPr>
              <w:spacing w:after="0" w:line="400" w:lineRule="exact"/>
              <w:jc w:val="both"/>
              <w:rPr>
                <w:rFonts w:ascii="Times New Roman" w:hAnsi="Times New Roman" w:eastAsia="仿宋_GB2312" w:cs="Times New Roman"/>
                <w:sz w:val="28"/>
                <w:szCs w:val="28"/>
                <w:lang w:eastAsia="zh-CN"/>
              </w:rPr>
            </w:pPr>
          </w:p>
        </w:tc>
      </w:tr>
      <w:tr w14:paraId="7C6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701" w:type="dxa"/>
            <w:vAlign w:val="center"/>
          </w:tcPr>
          <w:p w14:paraId="5C90231A">
            <w:pPr>
              <w:keepNext w:val="0"/>
              <w:keepLines w:val="0"/>
              <w:pageBreakBefore w:val="0"/>
              <w:widowControl/>
              <w:kinsoku/>
              <w:wordWrap w:val="0"/>
              <w:overflowPunct/>
              <w:topLinePunct w:val="0"/>
              <w:autoSpaceDE/>
              <w:autoSpaceDN/>
              <w:bidi w:val="0"/>
              <w:adjustRightInd/>
              <w:snapToGrid/>
              <w:spacing w:after="0" w:line="390" w:lineRule="exact"/>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匿名。IP：127.0.0.1</w:t>
            </w:r>
          </w:p>
        </w:tc>
        <w:tc>
          <w:tcPr>
            <w:tcW w:w="9923" w:type="dxa"/>
            <w:vAlign w:val="center"/>
          </w:tcPr>
          <w:p w14:paraId="059A0EA1">
            <w:pPr>
              <w:spacing w:after="0" w:line="390" w:lineRule="exact"/>
              <w:jc w:val="both"/>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1、为减轻企业的资金压力，建议</w:t>
            </w:r>
            <w:r>
              <w:rPr>
                <w:rFonts w:hint="eastAsia" w:ascii="Times New Roman" w:hAnsi="Times New Roman" w:eastAsia="仿宋_GB2312" w:cs="Times New Roman"/>
                <w:b/>
                <w:bCs/>
                <w:sz w:val="28"/>
                <w:szCs w:val="28"/>
                <w:lang w:eastAsia="zh-CN"/>
              </w:rPr>
              <w:t>缴纳时间</w:t>
            </w:r>
            <w:r>
              <w:rPr>
                <w:rFonts w:hint="eastAsia" w:ascii="Times New Roman" w:hAnsi="Times New Roman" w:eastAsia="仿宋_GB2312" w:cs="Times New Roman"/>
                <w:sz w:val="28"/>
                <w:szCs w:val="28"/>
                <w:lang w:eastAsia="zh-CN"/>
              </w:rPr>
              <w:t>修改为：建设单位应在办理工程整体施工许可证（或分阶段办理±0.000以上阶段的施工许可证）前，按照缴费通知向建设项目对应的征收机构及时一次性足额缴纳配套费。2、 建议</w:t>
            </w:r>
            <w:r>
              <w:rPr>
                <w:rFonts w:hint="eastAsia" w:ascii="Times New Roman" w:hAnsi="Times New Roman" w:eastAsia="仿宋_GB2312" w:cs="Times New Roman"/>
                <w:b/>
                <w:bCs/>
                <w:sz w:val="28"/>
                <w:szCs w:val="28"/>
                <w:lang w:eastAsia="zh-CN"/>
              </w:rPr>
              <w:t>地下室人防建筑面积免征</w:t>
            </w:r>
            <w:r>
              <w:rPr>
                <w:rFonts w:hint="eastAsia" w:ascii="Times New Roman" w:hAnsi="Times New Roman" w:eastAsia="仿宋_GB2312" w:cs="Times New Roman"/>
                <w:sz w:val="28"/>
                <w:szCs w:val="28"/>
                <w:lang w:eastAsia="zh-CN"/>
              </w:rPr>
              <w:t>配套费。</w:t>
            </w:r>
          </w:p>
        </w:tc>
        <w:tc>
          <w:tcPr>
            <w:tcW w:w="2835" w:type="dxa"/>
            <w:vAlign w:val="center"/>
          </w:tcPr>
          <w:p w14:paraId="10CE67A9">
            <w:pPr>
              <w:spacing w:after="0" w:line="400" w:lineRule="exact"/>
              <w:jc w:val="both"/>
              <w:rPr>
                <w:rFonts w:hint="default" w:ascii="Times New Roman" w:hAnsi="Times New Roman" w:cs="Times New Roman" w:eastAsiaTheme="minorEastAsia"/>
                <w:sz w:val="28"/>
                <w:szCs w:val="28"/>
                <w:lang w:val="en-US" w:eastAsia="zh-CN"/>
              </w:rPr>
            </w:pPr>
            <w:r>
              <w:rPr>
                <w:rFonts w:hint="eastAsia"/>
                <w:lang w:val="en-US" w:eastAsia="zh-CN"/>
              </w:rPr>
              <w:t>1、</w:t>
            </w:r>
            <w:r>
              <w:rPr>
                <w:rFonts w:hint="eastAsia"/>
                <w:lang w:eastAsia="zh-CN"/>
              </w:rPr>
              <w:t>我市城市基础设施配套费</w:t>
            </w:r>
            <w:r>
              <w:rPr>
                <w:rFonts w:hint="eastAsia"/>
                <w:lang w:val="en-US" w:eastAsia="zh-CN"/>
              </w:rPr>
              <w:t>的执收部门是市自然资源局，缴费在建设工程规划许可证阶段一并办理。2、地下室人防建筑面积免征配套费无国家政策支持。</w:t>
            </w:r>
          </w:p>
        </w:tc>
        <w:tc>
          <w:tcPr>
            <w:tcW w:w="850" w:type="dxa"/>
            <w:vAlign w:val="center"/>
          </w:tcPr>
          <w:p w14:paraId="55618B86">
            <w:pPr>
              <w:spacing w:after="0" w:line="400" w:lineRule="exact"/>
              <w:jc w:val="both"/>
              <w:rPr>
                <w:rFonts w:ascii="Times New Roman" w:hAnsi="Times New Roman" w:eastAsia="仿宋_GB2312" w:cs="Times New Roman"/>
                <w:sz w:val="28"/>
                <w:szCs w:val="28"/>
                <w:lang w:eastAsia="zh-CN"/>
              </w:rPr>
            </w:pPr>
          </w:p>
        </w:tc>
      </w:tr>
    </w:tbl>
    <w:p w14:paraId="27DF89D4">
      <w:pPr>
        <w:spacing w:before="156" w:line="360" w:lineRule="exact"/>
        <w:rPr>
          <w:rFonts w:ascii="仿宋_GB2312" w:eastAsia="仿宋_GB2312"/>
          <w:sz w:val="28"/>
          <w:szCs w:val="28"/>
          <w:lang w:eastAsia="zh-CN"/>
        </w:rPr>
      </w:pPr>
    </w:p>
    <w:sectPr>
      <w:pgSz w:w="16838" w:h="11906" w:orient="landscape"/>
      <w:pgMar w:top="1077" w:right="1077" w:bottom="964"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DY3ZTE5YWFmNWI2YWJiNDFhOTBhMzU5OTNiN2MifQ=="/>
  </w:docVars>
  <w:rsids>
    <w:rsidRoot w:val="006D6898"/>
    <w:rsid w:val="000130C4"/>
    <w:rsid w:val="0002077B"/>
    <w:rsid w:val="00045F65"/>
    <w:rsid w:val="00082633"/>
    <w:rsid w:val="00083368"/>
    <w:rsid w:val="00086E15"/>
    <w:rsid w:val="0009040E"/>
    <w:rsid w:val="000A45D1"/>
    <w:rsid w:val="000D120C"/>
    <w:rsid w:val="000F40B5"/>
    <w:rsid w:val="00113F9D"/>
    <w:rsid w:val="001409BE"/>
    <w:rsid w:val="00162C4C"/>
    <w:rsid w:val="00171FB9"/>
    <w:rsid w:val="001765F1"/>
    <w:rsid w:val="001C0A78"/>
    <w:rsid w:val="001C66E0"/>
    <w:rsid w:val="001D04F5"/>
    <w:rsid w:val="001E7539"/>
    <w:rsid w:val="001F20AA"/>
    <w:rsid w:val="0020731F"/>
    <w:rsid w:val="00245443"/>
    <w:rsid w:val="002B7DFA"/>
    <w:rsid w:val="002C273D"/>
    <w:rsid w:val="002E0408"/>
    <w:rsid w:val="00304D24"/>
    <w:rsid w:val="00327CB1"/>
    <w:rsid w:val="003367B6"/>
    <w:rsid w:val="0034043F"/>
    <w:rsid w:val="003435D6"/>
    <w:rsid w:val="003510F0"/>
    <w:rsid w:val="00364ACC"/>
    <w:rsid w:val="0039756D"/>
    <w:rsid w:val="003A7772"/>
    <w:rsid w:val="003E6C86"/>
    <w:rsid w:val="0041532E"/>
    <w:rsid w:val="004448D9"/>
    <w:rsid w:val="00446F89"/>
    <w:rsid w:val="00463767"/>
    <w:rsid w:val="0047192D"/>
    <w:rsid w:val="004929BB"/>
    <w:rsid w:val="0049707C"/>
    <w:rsid w:val="00536F3D"/>
    <w:rsid w:val="005408A3"/>
    <w:rsid w:val="00550574"/>
    <w:rsid w:val="0055553A"/>
    <w:rsid w:val="005575CB"/>
    <w:rsid w:val="0056148F"/>
    <w:rsid w:val="0058387F"/>
    <w:rsid w:val="0058582D"/>
    <w:rsid w:val="0059531A"/>
    <w:rsid w:val="005E362A"/>
    <w:rsid w:val="005E6B0E"/>
    <w:rsid w:val="005E78D9"/>
    <w:rsid w:val="005F3FD1"/>
    <w:rsid w:val="00612EDB"/>
    <w:rsid w:val="00617B4A"/>
    <w:rsid w:val="006259F0"/>
    <w:rsid w:val="00626F3B"/>
    <w:rsid w:val="0068160C"/>
    <w:rsid w:val="0068514A"/>
    <w:rsid w:val="006B09AB"/>
    <w:rsid w:val="006B712F"/>
    <w:rsid w:val="006D02C6"/>
    <w:rsid w:val="006D6898"/>
    <w:rsid w:val="006F2B6D"/>
    <w:rsid w:val="007110EF"/>
    <w:rsid w:val="00750DFD"/>
    <w:rsid w:val="00752F81"/>
    <w:rsid w:val="007A04A2"/>
    <w:rsid w:val="007C2BCA"/>
    <w:rsid w:val="007D0843"/>
    <w:rsid w:val="007F7F24"/>
    <w:rsid w:val="00804655"/>
    <w:rsid w:val="0080582F"/>
    <w:rsid w:val="0080783B"/>
    <w:rsid w:val="00833A77"/>
    <w:rsid w:val="00866C1B"/>
    <w:rsid w:val="008675EC"/>
    <w:rsid w:val="008B4A14"/>
    <w:rsid w:val="008D7930"/>
    <w:rsid w:val="00926A2E"/>
    <w:rsid w:val="00944E2D"/>
    <w:rsid w:val="0094736F"/>
    <w:rsid w:val="009618BB"/>
    <w:rsid w:val="00961F38"/>
    <w:rsid w:val="00974579"/>
    <w:rsid w:val="009750E3"/>
    <w:rsid w:val="00981D16"/>
    <w:rsid w:val="00A40B81"/>
    <w:rsid w:val="00A439BB"/>
    <w:rsid w:val="00A43E36"/>
    <w:rsid w:val="00A665F4"/>
    <w:rsid w:val="00A7073E"/>
    <w:rsid w:val="00A70F1F"/>
    <w:rsid w:val="00A83C78"/>
    <w:rsid w:val="00A93519"/>
    <w:rsid w:val="00AB765D"/>
    <w:rsid w:val="00AC55B0"/>
    <w:rsid w:val="00AC64EA"/>
    <w:rsid w:val="00AD2F77"/>
    <w:rsid w:val="00AD5F78"/>
    <w:rsid w:val="00AF2000"/>
    <w:rsid w:val="00B05067"/>
    <w:rsid w:val="00B17666"/>
    <w:rsid w:val="00B43C20"/>
    <w:rsid w:val="00B50260"/>
    <w:rsid w:val="00B563EC"/>
    <w:rsid w:val="00B6543F"/>
    <w:rsid w:val="00B77057"/>
    <w:rsid w:val="00B95679"/>
    <w:rsid w:val="00BD3217"/>
    <w:rsid w:val="00BE36C1"/>
    <w:rsid w:val="00C1435A"/>
    <w:rsid w:val="00C37E22"/>
    <w:rsid w:val="00C67820"/>
    <w:rsid w:val="00C86ED3"/>
    <w:rsid w:val="00CA656A"/>
    <w:rsid w:val="00CD0CE9"/>
    <w:rsid w:val="00CF026B"/>
    <w:rsid w:val="00CF6462"/>
    <w:rsid w:val="00D84DB3"/>
    <w:rsid w:val="00D87B8B"/>
    <w:rsid w:val="00D9730A"/>
    <w:rsid w:val="00DE7E74"/>
    <w:rsid w:val="00DF0AED"/>
    <w:rsid w:val="00E021E6"/>
    <w:rsid w:val="00E134C0"/>
    <w:rsid w:val="00E45558"/>
    <w:rsid w:val="00E50923"/>
    <w:rsid w:val="00E54BF5"/>
    <w:rsid w:val="00E8159A"/>
    <w:rsid w:val="00E81675"/>
    <w:rsid w:val="00E8578A"/>
    <w:rsid w:val="00E91DDB"/>
    <w:rsid w:val="00EA1827"/>
    <w:rsid w:val="00EC2636"/>
    <w:rsid w:val="00EF14F5"/>
    <w:rsid w:val="00F233CE"/>
    <w:rsid w:val="00F34D42"/>
    <w:rsid w:val="00F41271"/>
    <w:rsid w:val="00F715DD"/>
    <w:rsid w:val="00F77745"/>
    <w:rsid w:val="00F832EA"/>
    <w:rsid w:val="00F84883"/>
    <w:rsid w:val="00F97C1F"/>
    <w:rsid w:val="00FF1DB3"/>
    <w:rsid w:val="01593C29"/>
    <w:rsid w:val="01C761D7"/>
    <w:rsid w:val="01C83C13"/>
    <w:rsid w:val="02062B27"/>
    <w:rsid w:val="02182F2B"/>
    <w:rsid w:val="02385327"/>
    <w:rsid w:val="03836A76"/>
    <w:rsid w:val="03D25EE4"/>
    <w:rsid w:val="03F36BAE"/>
    <w:rsid w:val="03F744C3"/>
    <w:rsid w:val="040F3E66"/>
    <w:rsid w:val="047F2D99"/>
    <w:rsid w:val="04EC5E7E"/>
    <w:rsid w:val="050D2A9B"/>
    <w:rsid w:val="057F184B"/>
    <w:rsid w:val="05D835E8"/>
    <w:rsid w:val="05E337FC"/>
    <w:rsid w:val="064A5F93"/>
    <w:rsid w:val="06A572D0"/>
    <w:rsid w:val="07462294"/>
    <w:rsid w:val="07487DBA"/>
    <w:rsid w:val="07825D59"/>
    <w:rsid w:val="07FA0816"/>
    <w:rsid w:val="084E4202"/>
    <w:rsid w:val="08A94889"/>
    <w:rsid w:val="08C2594B"/>
    <w:rsid w:val="09E57B43"/>
    <w:rsid w:val="09F50350"/>
    <w:rsid w:val="0A0501E5"/>
    <w:rsid w:val="0ABA4C8A"/>
    <w:rsid w:val="0AD656DD"/>
    <w:rsid w:val="0B50723E"/>
    <w:rsid w:val="0B7F2F3E"/>
    <w:rsid w:val="0B971B20"/>
    <w:rsid w:val="0BF00A21"/>
    <w:rsid w:val="0C122B2A"/>
    <w:rsid w:val="0C3B50BE"/>
    <w:rsid w:val="0CD67C16"/>
    <w:rsid w:val="0D1B387B"/>
    <w:rsid w:val="0D354F69"/>
    <w:rsid w:val="0D8108B8"/>
    <w:rsid w:val="0D95362E"/>
    <w:rsid w:val="0DA5286B"/>
    <w:rsid w:val="0EAC6E81"/>
    <w:rsid w:val="0EF40828"/>
    <w:rsid w:val="0F3B0205"/>
    <w:rsid w:val="0FBC1346"/>
    <w:rsid w:val="10137EFA"/>
    <w:rsid w:val="10196798"/>
    <w:rsid w:val="10710382"/>
    <w:rsid w:val="10D80401"/>
    <w:rsid w:val="10DF4353"/>
    <w:rsid w:val="10FE773C"/>
    <w:rsid w:val="118266B8"/>
    <w:rsid w:val="11C315FA"/>
    <w:rsid w:val="132D60B6"/>
    <w:rsid w:val="13A24CF6"/>
    <w:rsid w:val="13AB37DE"/>
    <w:rsid w:val="13AE5AE8"/>
    <w:rsid w:val="13BB7E54"/>
    <w:rsid w:val="1404150D"/>
    <w:rsid w:val="146E6986"/>
    <w:rsid w:val="14812B5E"/>
    <w:rsid w:val="14D94748"/>
    <w:rsid w:val="154A679D"/>
    <w:rsid w:val="15897F1C"/>
    <w:rsid w:val="15DF5D8E"/>
    <w:rsid w:val="16176CCC"/>
    <w:rsid w:val="16435340"/>
    <w:rsid w:val="166826D0"/>
    <w:rsid w:val="166B13D0"/>
    <w:rsid w:val="16F4627F"/>
    <w:rsid w:val="17416ECA"/>
    <w:rsid w:val="174A32FC"/>
    <w:rsid w:val="18535349"/>
    <w:rsid w:val="18B629E3"/>
    <w:rsid w:val="193A2C96"/>
    <w:rsid w:val="19B06428"/>
    <w:rsid w:val="19D159ED"/>
    <w:rsid w:val="1A3C3108"/>
    <w:rsid w:val="1A7D1882"/>
    <w:rsid w:val="1C33298F"/>
    <w:rsid w:val="1CC935F7"/>
    <w:rsid w:val="1CF71C0F"/>
    <w:rsid w:val="1E4347B4"/>
    <w:rsid w:val="1F3031B6"/>
    <w:rsid w:val="1F394761"/>
    <w:rsid w:val="1F9C4138"/>
    <w:rsid w:val="20104B3E"/>
    <w:rsid w:val="20A8362C"/>
    <w:rsid w:val="20D9332B"/>
    <w:rsid w:val="21352D06"/>
    <w:rsid w:val="215C25EF"/>
    <w:rsid w:val="21940D41"/>
    <w:rsid w:val="228C2DF9"/>
    <w:rsid w:val="228E7026"/>
    <w:rsid w:val="22E1185E"/>
    <w:rsid w:val="232C1EE7"/>
    <w:rsid w:val="23B5012E"/>
    <w:rsid w:val="24163F6F"/>
    <w:rsid w:val="247141AA"/>
    <w:rsid w:val="249661B1"/>
    <w:rsid w:val="24BD4B8E"/>
    <w:rsid w:val="24C44604"/>
    <w:rsid w:val="24E3255D"/>
    <w:rsid w:val="24FE5668"/>
    <w:rsid w:val="250D7AF6"/>
    <w:rsid w:val="253D662D"/>
    <w:rsid w:val="253E5F41"/>
    <w:rsid w:val="258C1362"/>
    <w:rsid w:val="273B3040"/>
    <w:rsid w:val="276F4A98"/>
    <w:rsid w:val="276F6846"/>
    <w:rsid w:val="27F1185C"/>
    <w:rsid w:val="28642907"/>
    <w:rsid w:val="28C41393"/>
    <w:rsid w:val="28F03568"/>
    <w:rsid w:val="291624C7"/>
    <w:rsid w:val="29AF561F"/>
    <w:rsid w:val="29DB01C2"/>
    <w:rsid w:val="2A1B5308"/>
    <w:rsid w:val="2A8B1DAE"/>
    <w:rsid w:val="2B4A10A5"/>
    <w:rsid w:val="2BDB3ECD"/>
    <w:rsid w:val="2C153E60"/>
    <w:rsid w:val="2C8763E0"/>
    <w:rsid w:val="2CBC42DB"/>
    <w:rsid w:val="2D4A7B39"/>
    <w:rsid w:val="2D9502B1"/>
    <w:rsid w:val="2E00599F"/>
    <w:rsid w:val="2E20085E"/>
    <w:rsid w:val="2E862DF3"/>
    <w:rsid w:val="2E8928E3"/>
    <w:rsid w:val="2EED4C20"/>
    <w:rsid w:val="2FB2219A"/>
    <w:rsid w:val="2FBA6F03"/>
    <w:rsid w:val="2FF215C2"/>
    <w:rsid w:val="303B5E5F"/>
    <w:rsid w:val="30DD0CC4"/>
    <w:rsid w:val="314E6232"/>
    <w:rsid w:val="31932A9B"/>
    <w:rsid w:val="31D04AA5"/>
    <w:rsid w:val="327411B4"/>
    <w:rsid w:val="328B2BFD"/>
    <w:rsid w:val="32D46FB4"/>
    <w:rsid w:val="33322713"/>
    <w:rsid w:val="338413AB"/>
    <w:rsid w:val="33AD0D9B"/>
    <w:rsid w:val="33EF0616"/>
    <w:rsid w:val="34C27217"/>
    <w:rsid w:val="3599476A"/>
    <w:rsid w:val="35C0038D"/>
    <w:rsid w:val="35DD6394"/>
    <w:rsid w:val="36BB3856"/>
    <w:rsid w:val="36F33C0B"/>
    <w:rsid w:val="389B749B"/>
    <w:rsid w:val="38DE1A7D"/>
    <w:rsid w:val="390261CF"/>
    <w:rsid w:val="392505F0"/>
    <w:rsid w:val="39783D3A"/>
    <w:rsid w:val="39CD3FCC"/>
    <w:rsid w:val="3A39340F"/>
    <w:rsid w:val="3A6F6E31"/>
    <w:rsid w:val="3ADD74DD"/>
    <w:rsid w:val="3B9F3924"/>
    <w:rsid w:val="3C722C08"/>
    <w:rsid w:val="3E1440E6"/>
    <w:rsid w:val="3EAB0654"/>
    <w:rsid w:val="3EB7A76D"/>
    <w:rsid w:val="3F700CA1"/>
    <w:rsid w:val="3F874C1D"/>
    <w:rsid w:val="3FA66232"/>
    <w:rsid w:val="3FB672B0"/>
    <w:rsid w:val="3FC2510D"/>
    <w:rsid w:val="40244132"/>
    <w:rsid w:val="402E5098"/>
    <w:rsid w:val="40326356"/>
    <w:rsid w:val="408A49C4"/>
    <w:rsid w:val="409C6EF6"/>
    <w:rsid w:val="40B557B9"/>
    <w:rsid w:val="40BB21A0"/>
    <w:rsid w:val="40C20FAA"/>
    <w:rsid w:val="41653AC2"/>
    <w:rsid w:val="417C1684"/>
    <w:rsid w:val="41BB295C"/>
    <w:rsid w:val="41C757A4"/>
    <w:rsid w:val="41D6618B"/>
    <w:rsid w:val="42274495"/>
    <w:rsid w:val="426E301B"/>
    <w:rsid w:val="429B0086"/>
    <w:rsid w:val="42A07987"/>
    <w:rsid w:val="42B23D5F"/>
    <w:rsid w:val="42BC5DBA"/>
    <w:rsid w:val="43132E48"/>
    <w:rsid w:val="4387343D"/>
    <w:rsid w:val="43A55671"/>
    <w:rsid w:val="441D5B50"/>
    <w:rsid w:val="443928F3"/>
    <w:rsid w:val="44EF00D6"/>
    <w:rsid w:val="45163F52"/>
    <w:rsid w:val="45EE5265"/>
    <w:rsid w:val="45F7345F"/>
    <w:rsid w:val="46080139"/>
    <w:rsid w:val="46221D8A"/>
    <w:rsid w:val="465F5793"/>
    <w:rsid w:val="472463A2"/>
    <w:rsid w:val="474451A1"/>
    <w:rsid w:val="4746716B"/>
    <w:rsid w:val="4760629C"/>
    <w:rsid w:val="4812704D"/>
    <w:rsid w:val="48E1714C"/>
    <w:rsid w:val="48EE3617"/>
    <w:rsid w:val="495F4514"/>
    <w:rsid w:val="499E328F"/>
    <w:rsid w:val="4A317C5F"/>
    <w:rsid w:val="4B842010"/>
    <w:rsid w:val="4B941D1B"/>
    <w:rsid w:val="4B9B3306"/>
    <w:rsid w:val="4BDF193C"/>
    <w:rsid w:val="4C06511B"/>
    <w:rsid w:val="4C891A61"/>
    <w:rsid w:val="4CB701C3"/>
    <w:rsid w:val="4DA56CBA"/>
    <w:rsid w:val="4DBE3EFF"/>
    <w:rsid w:val="4E304118"/>
    <w:rsid w:val="4EFE032C"/>
    <w:rsid w:val="50A32F39"/>
    <w:rsid w:val="50BF2544"/>
    <w:rsid w:val="50F1639A"/>
    <w:rsid w:val="51877015"/>
    <w:rsid w:val="52BB6C5F"/>
    <w:rsid w:val="52E668BC"/>
    <w:rsid w:val="53067192"/>
    <w:rsid w:val="53FF28E6"/>
    <w:rsid w:val="54186543"/>
    <w:rsid w:val="54EF0E42"/>
    <w:rsid w:val="550C5E9F"/>
    <w:rsid w:val="556709D9"/>
    <w:rsid w:val="557708CE"/>
    <w:rsid w:val="55BBFDF7"/>
    <w:rsid w:val="567312E4"/>
    <w:rsid w:val="56A51FC7"/>
    <w:rsid w:val="57520793"/>
    <w:rsid w:val="575902FD"/>
    <w:rsid w:val="57A6127B"/>
    <w:rsid w:val="57B43C7D"/>
    <w:rsid w:val="57CA208F"/>
    <w:rsid w:val="57F57678"/>
    <w:rsid w:val="591568D1"/>
    <w:rsid w:val="59205A6E"/>
    <w:rsid w:val="5A1E1882"/>
    <w:rsid w:val="5A3D573A"/>
    <w:rsid w:val="5A8F6584"/>
    <w:rsid w:val="5B791466"/>
    <w:rsid w:val="5B951B8F"/>
    <w:rsid w:val="5B9B50D2"/>
    <w:rsid w:val="5C182A2D"/>
    <w:rsid w:val="5C321615"/>
    <w:rsid w:val="5C5E6EC7"/>
    <w:rsid w:val="5CA40764"/>
    <w:rsid w:val="5D863DF8"/>
    <w:rsid w:val="5D86767D"/>
    <w:rsid w:val="5DD72473"/>
    <w:rsid w:val="5DF54161"/>
    <w:rsid w:val="5EAF6B20"/>
    <w:rsid w:val="5EBF3633"/>
    <w:rsid w:val="5EF7731D"/>
    <w:rsid w:val="61096DE8"/>
    <w:rsid w:val="61202383"/>
    <w:rsid w:val="612105D5"/>
    <w:rsid w:val="615F05EB"/>
    <w:rsid w:val="616109D2"/>
    <w:rsid w:val="62C151E0"/>
    <w:rsid w:val="63741CFB"/>
    <w:rsid w:val="63D95197"/>
    <w:rsid w:val="641905FC"/>
    <w:rsid w:val="64406FC4"/>
    <w:rsid w:val="646802C9"/>
    <w:rsid w:val="656A1E1F"/>
    <w:rsid w:val="65A41C8F"/>
    <w:rsid w:val="65BF3C59"/>
    <w:rsid w:val="65CC4888"/>
    <w:rsid w:val="66246472"/>
    <w:rsid w:val="66454E79"/>
    <w:rsid w:val="666E1B71"/>
    <w:rsid w:val="668E3766"/>
    <w:rsid w:val="66D659BE"/>
    <w:rsid w:val="67FC392E"/>
    <w:rsid w:val="68284ECA"/>
    <w:rsid w:val="686F6420"/>
    <w:rsid w:val="68880F3A"/>
    <w:rsid w:val="68C6019C"/>
    <w:rsid w:val="698E432E"/>
    <w:rsid w:val="69C04704"/>
    <w:rsid w:val="6AE508C6"/>
    <w:rsid w:val="6B086362"/>
    <w:rsid w:val="6B3715F5"/>
    <w:rsid w:val="6BB07E6A"/>
    <w:rsid w:val="6C134FBF"/>
    <w:rsid w:val="6CA21B5A"/>
    <w:rsid w:val="6DAD36D8"/>
    <w:rsid w:val="6DB41F36"/>
    <w:rsid w:val="6DB43AA2"/>
    <w:rsid w:val="6E3851B0"/>
    <w:rsid w:val="6E62361A"/>
    <w:rsid w:val="6E7361C9"/>
    <w:rsid w:val="6F5558EE"/>
    <w:rsid w:val="6F864031"/>
    <w:rsid w:val="6FE91A27"/>
    <w:rsid w:val="6FFEE9D0"/>
    <w:rsid w:val="701B6B38"/>
    <w:rsid w:val="70B001FD"/>
    <w:rsid w:val="72526722"/>
    <w:rsid w:val="72760055"/>
    <w:rsid w:val="72897D89"/>
    <w:rsid w:val="72E37945"/>
    <w:rsid w:val="72FE8E07"/>
    <w:rsid w:val="72FF629D"/>
    <w:rsid w:val="731A29D7"/>
    <w:rsid w:val="741714DE"/>
    <w:rsid w:val="74B530B7"/>
    <w:rsid w:val="74BF44DE"/>
    <w:rsid w:val="74D774D1"/>
    <w:rsid w:val="75161DCD"/>
    <w:rsid w:val="753541F8"/>
    <w:rsid w:val="757C1E26"/>
    <w:rsid w:val="75E023B5"/>
    <w:rsid w:val="76377501"/>
    <w:rsid w:val="764F3904"/>
    <w:rsid w:val="76B234BC"/>
    <w:rsid w:val="76BA690C"/>
    <w:rsid w:val="76CC4C87"/>
    <w:rsid w:val="771035DD"/>
    <w:rsid w:val="774D3A7A"/>
    <w:rsid w:val="775841CD"/>
    <w:rsid w:val="7762238E"/>
    <w:rsid w:val="77FE1AEC"/>
    <w:rsid w:val="784A620C"/>
    <w:rsid w:val="784D21E6"/>
    <w:rsid w:val="78CA188F"/>
    <w:rsid w:val="78DE3D6C"/>
    <w:rsid w:val="78F543CA"/>
    <w:rsid w:val="79125774"/>
    <w:rsid w:val="79615DEF"/>
    <w:rsid w:val="79B3393D"/>
    <w:rsid w:val="79B471DF"/>
    <w:rsid w:val="79E85CDC"/>
    <w:rsid w:val="79FF5920"/>
    <w:rsid w:val="7A971B9E"/>
    <w:rsid w:val="7B113011"/>
    <w:rsid w:val="7B36656E"/>
    <w:rsid w:val="7B38059E"/>
    <w:rsid w:val="7B6D5212"/>
    <w:rsid w:val="7BE47D7F"/>
    <w:rsid w:val="7C067BE7"/>
    <w:rsid w:val="7C1508DF"/>
    <w:rsid w:val="7C574A54"/>
    <w:rsid w:val="7C63164A"/>
    <w:rsid w:val="7CB73947"/>
    <w:rsid w:val="7F474827"/>
    <w:rsid w:val="7FB26CB5"/>
    <w:rsid w:val="7FFFC6F7"/>
    <w:rsid w:val="9EFB5F89"/>
    <w:rsid w:val="BE79231D"/>
    <w:rsid w:val="BFDEA827"/>
    <w:rsid w:val="DD5F44D5"/>
    <w:rsid w:val="DD9FF410"/>
    <w:rsid w:val="DFCC6D9D"/>
    <w:rsid w:val="DFFE80D5"/>
    <w:rsid w:val="ECFB9E74"/>
    <w:rsid w:val="F7D5D75A"/>
    <w:rsid w:val="F7F3E439"/>
    <w:rsid w:val="FEFFC567"/>
    <w:rsid w:val="FFCFE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EastAsia" w:cstheme="minorBidi"/>
      <w:sz w:val="22"/>
      <w:szCs w:val="22"/>
      <w:lang w:val="en-US" w:eastAsia="en-US" w:bidi="en-US"/>
    </w:rPr>
  </w:style>
  <w:style w:type="paragraph" w:styleId="2">
    <w:name w:val="heading 1"/>
    <w:basedOn w:val="1"/>
    <w:next w:val="1"/>
    <w:link w:val="28"/>
    <w:autoRedefine/>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9"/>
    <w:autoRedefine/>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0"/>
    <w:autoRedefine/>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31"/>
    <w:autoRedefine/>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2"/>
    <w:autoRedefine/>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33"/>
    <w:autoRedefine/>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34"/>
    <w:autoRedefine/>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35"/>
    <w:autoRedefine/>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36"/>
    <w:autoRedefine/>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Balloon Text"/>
    <w:basedOn w:val="1"/>
    <w:link w:val="52"/>
    <w:semiHidden/>
    <w:unhideWhenUsed/>
    <w:qFormat/>
    <w:uiPriority w:val="99"/>
    <w:pPr>
      <w:spacing w:after="0" w:line="240" w:lineRule="auto"/>
    </w:pPr>
    <w:rPr>
      <w:sz w:val="18"/>
      <w:szCs w:val="18"/>
    </w:rPr>
  </w:style>
  <w:style w:type="paragraph" w:styleId="13">
    <w:name w:val="footer"/>
    <w:basedOn w:val="1"/>
    <w:link w:val="51"/>
    <w:autoRedefine/>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Subtitle"/>
    <w:basedOn w:val="1"/>
    <w:next w:val="1"/>
    <w:link w:val="38"/>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6">
    <w:name w:val="Title"/>
    <w:basedOn w:val="1"/>
    <w:next w:val="1"/>
    <w:link w:val="37"/>
    <w:autoRedefine/>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Emphasis"/>
    <w:basedOn w:val="19"/>
    <w:autoRedefine/>
    <w:qFormat/>
    <w:uiPriority w:val="20"/>
    <w:rPr>
      <w:i/>
      <w:iCs/>
    </w:rPr>
  </w:style>
  <w:style w:type="character" w:styleId="22">
    <w:name w:val="Hyperlink"/>
    <w:basedOn w:val="19"/>
    <w:autoRedefine/>
    <w:semiHidden/>
    <w:unhideWhenUsed/>
    <w:qFormat/>
    <w:uiPriority w:val="99"/>
    <w:rPr>
      <w:color w:val="0000FF"/>
      <w:u w:val="single"/>
    </w:rPr>
  </w:style>
  <w:style w:type="paragraph" w:customStyle="1" w:styleId="23">
    <w:name w:val="样式1"/>
    <w:basedOn w:val="14"/>
    <w:link w:val="25"/>
    <w:autoRedefine/>
    <w:qFormat/>
    <w:uiPriority w:val="0"/>
    <w:pPr>
      <w:pBdr>
        <w:bottom w:val="none" w:color="auto" w:sz="0" w:space="0"/>
      </w:pBdr>
      <w:spacing w:before="120"/>
    </w:pPr>
  </w:style>
  <w:style w:type="character" w:customStyle="1" w:styleId="24">
    <w:name w:val="页眉 Char"/>
    <w:basedOn w:val="19"/>
    <w:link w:val="14"/>
    <w:autoRedefine/>
    <w:qFormat/>
    <w:uiPriority w:val="99"/>
    <w:rPr>
      <w:sz w:val="18"/>
      <w:szCs w:val="18"/>
    </w:rPr>
  </w:style>
  <w:style w:type="character" w:customStyle="1" w:styleId="25">
    <w:name w:val="样式1 Char"/>
    <w:basedOn w:val="24"/>
    <w:link w:val="23"/>
    <w:autoRedefine/>
    <w:qFormat/>
    <w:uiPriority w:val="0"/>
    <w:rPr>
      <w:sz w:val="18"/>
      <w:szCs w:val="18"/>
    </w:rPr>
  </w:style>
  <w:style w:type="paragraph" w:customStyle="1" w:styleId="26">
    <w:name w:val="样式2"/>
    <w:basedOn w:val="14"/>
    <w:link w:val="27"/>
    <w:autoRedefine/>
    <w:qFormat/>
    <w:uiPriority w:val="0"/>
    <w:pPr>
      <w:pBdr>
        <w:bottom w:val="none" w:color="auto" w:sz="0" w:space="0"/>
      </w:pBdr>
      <w:spacing w:before="120"/>
    </w:pPr>
  </w:style>
  <w:style w:type="character" w:customStyle="1" w:styleId="27">
    <w:name w:val="样式2 Char"/>
    <w:basedOn w:val="24"/>
    <w:link w:val="26"/>
    <w:autoRedefine/>
    <w:qFormat/>
    <w:uiPriority w:val="0"/>
    <w:rPr>
      <w:sz w:val="18"/>
      <w:szCs w:val="18"/>
    </w:rPr>
  </w:style>
  <w:style w:type="character" w:customStyle="1" w:styleId="28">
    <w:name w:val="标题 1 Char"/>
    <w:basedOn w:val="19"/>
    <w:link w:val="2"/>
    <w:autoRedefine/>
    <w:qFormat/>
    <w:uiPriority w:val="9"/>
    <w:rPr>
      <w:rFonts w:asciiTheme="majorHAnsi" w:hAnsiTheme="majorHAnsi" w:eastAsiaTheme="majorEastAsia" w:cstheme="majorBidi"/>
      <w:b/>
      <w:bCs/>
      <w:color w:val="376092" w:themeColor="accent1" w:themeShade="BF"/>
      <w:sz w:val="28"/>
      <w:szCs w:val="28"/>
    </w:rPr>
  </w:style>
  <w:style w:type="character" w:customStyle="1" w:styleId="29">
    <w:name w:val="标题 2 Char"/>
    <w:basedOn w:val="19"/>
    <w:link w:val="3"/>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0">
    <w:name w:val="标题 3 Char"/>
    <w:basedOn w:val="19"/>
    <w:link w:val="4"/>
    <w:autoRedefine/>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31">
    <w:name w:val="标题 4 Char"/>
    <w:basedOn w:val="19"/>
    <w:link w:val="5"/>
    <w:autoRedefine/>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32">
    <w:name w:val="标题 5 Char"/>
    <w:basedOn w:val="19"/>
    <w:link w:val="6"/>
    <w:autoRedefine/>
    <w:qFormat/>
    <w:uiPriority w:val="9"/>
    <w:rPr>
      <w:rFonts w:asciiTheme="majorHAnsi" w:hAnsiTheme="majorHAnsi" w:eastAsiaTheme="majorEastAsia" w:cstheme="majorBidi"/>
      <w:color w:val="254061" w:themeColor="accent1" w:themeShade="80"/>
    </w:rPr>
  </w:style>
  <w:style w:type="character" w:customStyle="1" w:styleId="33">
    <w:name w:val="标题 6 Char"/>
    <w:basedOn w:val="19"/>
    <w:link w:val="7"/>
    <w:autoRedefine/>
    <w:qFormat/>
    <w:uiPriority w:val="9"/>
    <w:rPr>
      <w:rFonts w:asciiTheme="majorHAnsi" w:hAnsiTheme="majorHAnsi" w:eastAsiaTheme="majorEastAsia" w:cstheme="majorBidi"/>
      <w:i/>
      <w:iCs/>
      <w:color w:val="254061" w:themeColor="accent1" w:themeShade="80"/>
    </w:rPr>
  </w:style>
  <w:style w:type="character" w:customStyle="1" w:styleId="34">
    <w:name w:val="标题 7 Char"/>
    <w:basedOn w:val="19"/>
    <w:link w:val="8"/>
    <w:autoRedefine/>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35">
    <w:name w:val="标题 8 Char"/>
    <w:basedOn w:val="19"/>
    <w:link w:val="9"/>
    <w:autoRedefine/>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36">
    <w:name w:val="标题 9 Char"/>
    <w:basedOn w:val="19"/>
    <w:link w:val="10"/>
    <w:autoRedefine/>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7">
    <w:name w:val="标题 Char"/>
    <w:basedOn w:val="19"/>
    <w:link w:val="16"/>
    <w:autoRedefine/>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8">
    <w:name w:val="副标题 Char"/>
    <w:basedOn w:val="19"/>
    <w:link w:val="15"/>
    <w:autoRedefine/>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9">
    <w:name w:val="No Spacing"/>
    <w:autoRedefine/>
    <w:qFormat/>
    <w:uiPriority w:val="1"/>
    <w:rPr>
      <w:rFonts w:asciiTheme="minorHAnsi" w:hAnsiTheme="minorHAnsi" w:eastAsiaTheme="minorEastAsia" w:cstheme="minorBidi"/>
      <w:sz w:val="22"/>
      <w:szCs w:val="22"/>
      <w:lang w:val="en-US" w:eastAsia="en-US" w:bidi="en-US"/>
    </w:rPr>
  </w:style>
  <w:style w:type="paragraph" w:styleId="40">
    <w:name w:val="List Paragraph"/>
    <w:basedOn w:val="1"/>
    <w:autoRedefine/>
    <w:qFormat/>
    <w:uiPriority w:val="34"/>
    <w:pPr>
      <w:ind w:left="720"/>
      <w:contextualSpacing/>
    </w:pPr>
  </w:style>
  <w:style w:type="paragraph" w:styleId="41">
    <w:name w:val="Quote"/>
    <w:basedOn w:val="1"/>
    <w:next w:val="1"/>
    <w:link w:val="42"/>
    <w:autoRedefine/>
    <w:qFormat/>
    <w:uiPriority w:val="29"/>
    <w:rPr>
      <w:i/>
      <w:iCs/>
      <w:color w:val="000000" w:themeColor="text1"/>
      <w14:textFill>
        <w14:solidFill>
          <w14:schemeClr w14:val="tx1"/>
        </w14:solidFill>
      </w14:textFill>
    </w:rPr>
  </w:style>
  <w:style w:type="character" w:customStyle="1" w:styleId="42">
    <w:name w:val="引用 Char"/>
    <w:basedOn w:val="19"/>
    <w:link w:val="41"/>
    <w:autoRedefine/>
    <w:qFormat/>
    <w:uiPriority w:val="29"/>
    <w:rPr>
      <w:i/>
      <w:iCs/>
      <w:color w:val="000000" w:themeColor="text1"/>
      <w14:textFill>
        <w14:solidFill>
          <w14:schemeClr w14:val="tx1"/>
        </w14:solidFill>
      </w14:textFill>
    </w:rPr>
  </w:style>
  <w:style w:type="paragraph" w:styleId="43">
    <w:name w:val="Intense Quote"/>
    <w:basedOn w:val="1"/>
    <w:next w:val="1"/>
    <w:link w:val="44"/>
    <w:autoRedefine/>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44">
    <w:name w:val="明显引用 Char"/>
    <w:basedOn w:val="19"/>
    <w:link w:val="43"/>
    <w:autoRedefine/>
    <w:qFormat/>
    <w:uiPriority w:val="30"/>
    <w:rPr>
      <w:b/>
      <w:bCs/>
      <w:i/>
      <w:iCs/>
      <w:color w:val="4F81BD" w:themeColor="accent1"/>
      <w14:textFill>
        <w14:solidFill>
          <w14:schemeClr w14:val="accent1"/>
        </w14:solidFill>
      </w14:textFill>
    </w:rPr>
  </w:style>
  <w:style w:type="character" w:customStyle="1" w:styleId="45">
    <w:name w:val="不明显强调1"/>
    <w:basedOn w:val="19"/>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46">
    <w:name w:val="明显强调1"/>
    <w:basedOn w:val="19"/>
    <w:autoRedefine/>
    <w:qFormat/>
    <w:uiPriority w:val="21"/>
    <w:rPr>
      <w:b/>
      <w:bCs/>
      <w:i/>
      <w:iCs/>
      <w:color w:val="4F81BD" w:themeColor="accent1"/>
      <w14:textFill>
        <w14:solidFill>
          <w14:schemeClr w14:val="accent1"/>
        </w14:solidFill>
      </w14:textFill>
    </w:rPr>
  </w:style>
  <w:style w:type="character" w:customStyle="1" w:styleId="47">
    <w:name w:val="不明显参考1"/>
    <w:basedOn w:val="19"/>
    <w:autoRedefine/>
    <w:qFormat/>
    <w:uiPriority w:val="31"/>
    <w:rPr>
      <w:smallCaps/>
      <w:color w:val="C0504D" w:themeColor="accent2"/>
      <w:u w:val="single"/>
      <w14:textFill>
        <w14:solidFill>
          <w14:schemeClr w14:val="accent2"/>
        </w14:solidFill>
      </w14:textFill>
    </w:rPr>
  </w:style>
  <w:style w:type="character" w:customStyle="1" w:styleId="48">
    <w:name w:val="明显参考1"/>
    <w:basedOn w:val="19"/>
    <w:autoRedefine/>
    <w:qFormat/>
    <w:uiPriority w:val="32"/>
    <w:rPr>
      <w:b/>
      <w:bCs/>
      <w:smallCaps/>
      <w:color w:val="C0504D" w:themeColor="accent2"/>
      <w:spacing w:val="5"/>
      <w:u w:val="single"/>
      <w14:textFill>
        <w14:solidFill>
          <w14:schemeClr w14:val="accent2"/>
        </w14:solidFill>
      </w14:textFill>
    </w:rPr>
  </w:style>
  <w:style w:type="character" w:customStyle="1" w:styleId="49">
    <w:name w:val="书籍标题1"/>
    <w:basedOn w:val="19"/>
    <w:autoRedefine/>
    <w:qFormat/>
    <w:uiPriority w:val="33"/>
    <w:rPr>
      <w:b/>
      <w:bCs/>
      <w:smallCaps/>
      <w:spacing w:val="5"/>
    </w:rPr>
  </w:style>
  <w:style w:type="paragraph" w:customStyle="1" w:styleId="50">
    <w:name w:val="TOC 标题1"/>
    <w:basedOn w:val="2"/>
    <w:next w:val="1"/>
    <w:autoRedefine/>
    <w:semiHidden/>
    <w:unhideWhenUsed/>
    <w:qFormat/>
    <w:uiPriority w:val="39"/>
    <w:pPr>
      <w:outlineLvl w:val="9"/>
    </w:pPr>
  </w:style>
  <w:style w:type="character" w:customStyle="1" w:styleId="51">
    <w:name w:val="页脚 Char"/>
    <w:basedOn w:val="19"/>
    <w:link w:val="13"/>
    <w:autoRedefine/>
    <w:qFormat/>
    <w:uiPriority w:val="99"/>
    <w:rPr>
      <w:sz w:val="18"/>
      <w:szCs w:val="18"/>
    </w:rPr>
  </w:style>
  <w:style w:type="character" w:customStyle="1" w:styleId="52">
    <w:name w:val="批注框文本 Char"/>
    <w:basedOn w:val="19"/>
    <w:link w:val="12"/>
    <w:semiHidden/>
    <w:qFormat/>
    <w:uiPriority w:val="99"/>
    <w:rPr>
      <w:rFonts w:asciiTheme="minorHAnsi" w:hAnsiTheme="minorHAnsi" w:eastAsiaTheme="minorEastAsia" w:cstheme="minorBid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1574</Words>
  <Characters>1660</Characters>
  <Lines>39</Lines>
  <Paragraphs>11</Paragraphs>
  <TotalTime>4</TotalTime>
  <ScaleCrop>false</ScaleCrop>
  <LinksUpToDate>false</LinksUpToDate>
  <CharactersWithSpaces>1664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2020-06-03T01:14:00Z</dcterms:created>
  <dc:creator>方晓洋</dc:creator>
  <cp:lastModifiedBy>黄敏军</cp:lastModifiedBy>
  <cp:lastPrinted>2024-11-22T09:30:11Z</cp:lastPrinted>
  <dcterms:modified xsi:type="dcterms:W3CDTF">2024-11-22T10:44:31Z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A52D228E6BFE4486983A165DDFDDA151_13</vt:lpwstr>
  </property>
</Properties>
</file>