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16C0D5">
      <w:pPr>
        <w:adjustRightInd w:val="0"/>
        <w:snapToGrid w:val="0"/>
        <w:spacing w:line="630" w:lineRule="exact"/>
        <w:jc w:val="left"/>
        <w:rPr>
          <w:rFonts w:hint="eastAsia" w:ascii="Times New Roman" w:hAnsi="Times New Roman" w:eastAsia="黑体" w:cs="黑体"/>
          <w:color w:val="auto"/>
          <w:szCs w:val="32"/>
          <w:highlight w:val="none"/>
          <w:u w:val="none"/>
        </w:rPr>
      </w:pPr>
      <w:r>
        <w:rPr>
          <w:rFonts w:hint="eastAsia" w:ascii="Times New Roman" w:hAnsi="Times New Roman" w:eastAsia="黑体" w:cs="黑体"/>
          <w:color w:val="auto"/>
          <w:szCs w:val="32"/>
          <w:highlight w:val="none"/>
          <w:u w:val="none"/>
        </w:rPr>
        <w:t>附件</w:t>
      </w:r>
    </w:p>
    <w:p w14:paraId="51DDC76B">
      <w:pPr>
        <w:pStyle w:val="2"/>
        <w:adjustRightInd w:val="0"/>
        <w:snapToGrid w:val="0"/>
        <w:spacing w:line="630" w:lineRule="exact"/>
      </w:pPr>
    </w:p>
    <w:p w14:paraId="6D37E1D7">
      <w:pPr>
        <w:adjustRightInd w:val="0"/>
        <w:snapToGrid w:val="0"/>
        <w:spacing w:line="630" w:lineRule="exact"/>
        <w:jc w:val="center"/>
        <w:rPr>
          <w:rFonts w:hint="eastAsia" w:eastAsia="方正小标宋简体"/>
          <w:color w:val="auto"/>
          <w:sz w:val="44"/>
          <w:szCs w:val="44"/>
          <w:highlight w:val="none"/>
          <w:u w:val="none"/>
          <w:lang w:val="en-US" w:eastAsia="zh-CN"/>
        </w:rPr>
      </w:pPr>
      <w:r>
        <w:rPr>
          <w:rFonts w:hint="eastAsia" w:eastAsia="方正小标宋简体"/>
          <w:color w:val="auto"/>
          <w:sz w:val="44"/>
          <w:szCs w:val="44"/>
          <w:highlight w:val="none"/>
          <w:u w:val="none"/>
          <w:lang w:val="en-US" w:eastAsia="zh-CN"/>
        </w:rPr>
        <w:t>建设工程设计方案技术审查标准</w:t>
      </w:r>
    </w:p>
    <w:p w14:paraId="6F3FAB88">
      <w:pPr>
        <w:adjustRightInd w:val="0"/>
        <w:snapToGrid w:val="0"/>
        <w:spacing w:line="630" w:lineRule="exact"/>
        <w:jc w:val="center"/>
        <w:rPr>
          <w:rFonts w:hint="eastAsia" w:eastAsia="方正小标宋简体"/>
          <w:color w:val="auto"/>
          <w:sz w:val="44"/>
          <w:szCs w:val="44"/>
          <w:highlight w:val="none"/>
          <w:u w:val="none"/>
        </w:rPr>
      </w:pPr>
      <w:r>
        <w:rPr>
          <w:rFonts w:hint="eastAsia" w:eastAsia="方正小标宋简体"/>
          <w:color w:val="auto"/>
          <w:sz w:val="44"/>
          <w:szCs w:val="44"/>
          <w:highlight w:val="none"/>
          <w:u w:val="none"/>
        </w:rPr>
        <w:t>的优化内容</w:t>
      </w:r>
    </w:p>
    <w:p w14:paraId="1DD848EF">
      <w:pPr>
        <w:pStyle w:val="2"/>
        <w:adjustRightInd w:val="0"/>
        <w:snapToGrid w:val="0"/>
        <w:spacing w:line="630" w:lineRule="exact"/>
        <w:rPr>
          <w:color w:val="auto"/>
        </w:rPr>
      </w:pPr>
    </w:p>
    <w:p w14:paraId="4E8B9E89">
      <w:pPr>
        <w:numPr>
          <w:ilvl w:val="0"/>
          <w:numId w:val="1"/>
        </w:numPr>
        <w:adjustRightInd w:val="0"/>
        <w:snapToGrid w:val="0"/>
        <w:spacing w:line="630" w:lineRule="exact"/>
        <w:ind w:left="0" w:firstLine="640" w:firstLineChars="200"/>
        <w:rPr>
          <w:rFonts w:hint="eastAsia"/>
          <w:color w:val="auto"/>
          <w:szCs w:val="32"/>
          <w:highlight w:val="none"/>
          <w:u w:val="none"/>
          <w:lang w:bidi="ar"/>
        </w:rPr>
      </w:pPr>
      <w:r>
        <w:rPr>
          <w:rFonts w:hint="eastAsia"/>
          <w:color w:val="auto"/>
          <w:szCs w:val="32"/>
          <w:highlight w:val="none"/>
          <w:u w:val="none"/>
          <w:lang w:bidi="ar"/>
        </w:rPr>
        <w:t>高层</w:t>
      </w:r>
      <w:r>
        <w:rPr>
          <w:color w:val="auto"/>
          <w:szCs w:val="32"/>
          <w:highlight w:val="none"/>
          <w:u w:val="none"/>
          <w:lang w:bidi="ar"/>
        </w:rPr>
        <w:t>民用</w:t>
      </w:r>
      <w:r>
        <w:rPr>
          <w:rFonts w:hint="eastAsia"/>
          <w:color w:val="auto"/>
          <w:szCs w:val="32"/>
          <w:highlight w:val="none"/>
          <w:u w:val="none"/>
          <w:lang w:bidi="ar"/>
        </w:rPr>
        <w:t>建筑物的建筑间距不应小于13米。</w:t>
      </w:r>
    </w:p>
    <w:p w14:paraId="53668DEB">
      <w:pPr>
        <w:pStyle w:val="2"/>
        <w:numPr>
          <w:ilvl w:val="-1"/>
          <w:numId w:val="0"/>
        </w:numPr>
        <w:adjustRightInd w:val="0"/>
        <w:snapToGrid w:val="0"/>
        <w:spacing w:line="630" w:lineRule="exact"/>
        <w:ind w:firstLine="560" w:firstLineChars="200"/>
        <w:rPr>
          <w:rFonts w:hint="eastAsia" w:ascii="Times New Roman" w:hAnsi="Times New Roman" w:eastAsia="楷体" w:cs="楷体"/>
          <w:color w:val="auto"/>
          <w:sz w:val="28"/>
          <w:szCs w:val="28"/>
          <w:highlight w:val="none"/>
          <w:u w:val="none"/>
          <w:lang w:val="en-US" w:eastAsia="zh-CN"/>
        </w:rPr>
      </w:pPr>
      <w:r>
        <w:rPr>
          <w:rFonts w:hint="eastAsia" w:ascii="Times New Roman" w:hAnsi="Times New Roman" w:eastAsia="楷体" w:cs="楷体"/>
          <w:color w:val="auto"/>
          <w:sz w:val="28"/>
          <w:szCs w:val="28"/>
          <w:highlight w:val="none"/>
          <w:u w:val="none"/>
          <w:lang w:val="en-US" w:eastAsia="zh-CN"/>
        </w:rPr>
        <w:t>【</w:t>
      </w:r>
      <w:r>
        <w:rPr>
          <w:rFonts w:hint="eastAsia" w:ascii="Times New Roman" w:hAnsi="Times New Roman" w:eastAsia="楷体" w:cs="楷体"/>
          <w:b/>
          <w:bCs/>
          <w:color w:val="auto"/>
          <w:sz w:val="28"/>
          <w:szCs w:val="28"/>
          <w:highlight w:val="none"/>
          <w:u w:val="none"/>
          <w:lang w:val="en-US" w:eastAsia="zh-CN"/>
        </w:rPr>
        <w:t>原技术审查标准</w:t>
      </w:r>
      <w:r>
        <w:rPr>
          <w:rFonts w:hint="eastAsia" w:ascii="Times New Roman" w:hAnsi="Times New Roman" w:eastAsia="楷体" w:cs="楷体"/>
          <w:color w:val="auto"/>
          <w:sz w:val="28"/>
          <w:szCs w:val="28"/>
          <w:highlight w:val="none"/>
          <w:u w:val="none"/>
          <w:lang w:val="en-US" w:eastAsia="zh-CN"/>
        </w:rPr>
        <w:t>】《东莞市城市规划管理技术规定》（2020版）（以下简称《技术规定》）第二部分建筑篇第1.2.2条</w:t>
      </w:r>
      <w:bookmarkStart w:id="1" w:name="_GoBack"/>
      <w:bookmarkEnd w:id="1"/>
      <w:r>
        <w:rPr>
          <w:rFonts w:hint="eastAsia" w:ascii="Times New Roman" w:hAnsi="Times New Roman" w:eastAsia="楷体" w:cs="楷体"/>
          <w:color w:val="auto"/>
          <w:sz w:val="28"/>
          <w:szCs w:val="28"/>
          <w:highlight w:val="none"/>
          <w:u w:val="none"/>
          <w:lang w:val="en-US" w:eastAsia="zh-CN"/>
        </w:rPr>
        <w:t xml:space="preserve"> 高层建筑物的建筑间距不应小于13米。</w:t>
      </w:r>
    </w:p>
    <w:p w14:paraId="2C028D77">
      <w:pPr>
        <w:numPr>
          <w:ilvl w:val="0"/>
          <w:numId w:val="1"/>
        </w:numPr>
        <w:adjustRightInd w:val="0"/>
        <w:snapToGrid w:val="0"/>
        <w:spacing w:line="630" w:lineRule="exact"/>
        <w:ind w:firstLine="640" w:firstLineChars="200"/>
        <w:rPr>
          <w:rFonts w:hint="eastAsia"/>
          <w:color w:val="auto"/>
          <w:szCs w:val="32"/>
          <w:highlight w:val="none"/>
          <w:u w:val="none"/>
          <w:lang w:val="en-US" w:eastAsia="zh-CN"/>
        </w:rPr>
      </w:pPr>
      <w:r>
        <w:rPr>
          <w:rFonts w:hint="eastAsia"/>
          <w:color w:val="auto"/>
          <w:szCs w:val="32"/>
          <w:highlight w:val="none"/>
          <w:u w:val="none"/>
          <w:lang w:val="en-US" w:eastAsia="zh-CN"/>
        </w:rPr>
        <w:t>停车场（库）出入口的设置应符合《民用建筑设计统一标准》《汽车库、修车库、停车场设计防火规范》《车库建筑设计规范》等国家及行业标准的最新要求。</w:t>
      </w:r>
    </w:p>
    <w:p w14:paraId="5CA42A43">
      <w:pPr>
        <w:pStyle w:val="2"/>
        <w:numPr>
          <w:ilvl w:val="-1"/>
          <w:numId w:val="0"/>
        </w:numPr>
        <w:adjustRightInd w:val="0"/>
        <w:snapToGrid w:val="0"/>
        <w:spacing w:line="630" w:lineRule="exact"/>
        <w:ind w:firstLine="644" w:firstLineChars="0"/>
        <w:rPr>
          <w:rFonts w:hint="eastAsia" w:ascii="Times New Roman" w:hAnsi="Times New Roman" w:eastAsia="楷体" w:cs="楷体"/>
          <w:b w:val="0"/>
          <w:bCs w:val="0"/>
          <w:color w:val="auto"/>
          <w:sz w:val="28"/>
          <w:szCs w:val="28"/>
          <w:highlight w:val="none"/>
          <w:u w:val="none"/>
          <w:lang w:val="en-US" w:eastAsia="zh-CN"/>
        </w:rPr>
      </w:pPr>
      <w:r>
        <w:rPr>
          <w:rFonts w:hint="eastAsia" w:ascii="Times New Roman" w:hAnsi="Times New Roman" w:eastAsia="楷体" w:cs="楷体"/>
          <w:color w:val="auto"/>
          <w:sz w:val="28"/>
          <w:szCs w:val="28"/>
          <w:highlight w:val="none"/>
          <w:u w:val="none"/>
          <w:lang w:val="en-US" w:eastAsia="zh-CN"/>
        </w:rPr>
        <w:t>【</w:t>
      </w:r>
      <w:r>
        <w:rPr>
          <w:rFonts w:hint="eastAsia" w:ascii="Times New Roman" w:hAnsi="Times New Roman" w:eastAsia="楷体" w:cs="楷体"/>
          <w:b/>
          <w:bCs/>
          <w:color w:val="auto"/>
          <w:sz w:val="28"/>
          <w:szCs w:val="28"/>
          <w:highlight w:val="none"/>
          <w:u w:val="none"/>
          <w:lang w:val="en-US" w:eastAsia="zh-CN"/>
        </w:rPr>
        <w:t>原技术审查标准</w:t>
      </w:r>
      <w:r>
        <w:rPr>
          <w:rFonts w:hint="eastAsia" w:ascii="Times New Roman" w:hAnsi="Times New Roman" w:eastAsia="楷体" w:cs="楷体"/>
          <w:color w:val="auto"/>
          <w:sz w:val="28"/>
          <w:szCs w:val="28"/>
          <w:highlight w:val="none"/>
          <w:u w:val="none"/>
          <w:lang w:val="en-US" w:eastAsia="zh-CN"/>
        </w:rPr>
        <w:t>】</w:t>
      </w:r>
      <w:bookmarkStart w:id="0" w:name="OLE_LINK1"/>
      <w:r>
        <w:rPr>
          <w:rFonts w:hint="eastAsia" w:ascii="Times New Roman" w:hAnsi="Times New Roman" w:eastAsia="楷体" w:cs="楷体"/>
          <w:color w:val="auto"/>
          <w:sz w:val="28"/>
          <w:szCs w:val="28"/>
          <w:highlight w:val="none"/>
          <w:u w:val="none"/>
          <w:lang w:val="en-US" w:eastAsia="zh-CN"/>
        </w:rPr>
        <w:t>《技术规定》第二部分建筑篇</w:t>
      </w:r>
      <w:bookmarkEnd w:id="0"/>
      <w:r>
        <w:rPr>
          <w:rFonts w:hint="eastAsia" w:ascii="Times New Roman" w:hAnsi="Times New Roman" w:eastAsia="楷体" w:cs="楷体"/>
          <w:color w:val="auto"/>
          <w:sz w:val="28"/>
          <w:szCs w:val="28"/>
          <w:highlight w:val="none"/>
          <w:u w:val="none"/>
          <w:lang w:val="en-US" w:eastAsia="zh-CN"/>
        </w:rPr>
        <w:t xml:space="preserve">第1.4.3条 </w:t>
      </w:r>
      <w:r>
        <w:rPr>
          <w:rFonts w:hint="eastAsia" w:ascii="Times New Roman" w:hAnsi="Times New Roman" w:eastAsia="楷体" w:cs="楷体"/>
          <w:b w:val="0"/>
          <w:bCs w:val="0"/>
          <w:color w:val="auto"/>
          <w:sz w:val="28"/>
          <w:szCs w:val="28"/>
          <w:highlight w:val="none"/>
          <w:u w:val="none"/>
        </w:rPr>
        <w:t>少于50个停车位的停车场（库），可设一个出入口，宜采用双车道；50至300个停车位的停车场（库），至少应设两个出入口；大于300个停车位的停车场（库），出口和入口应分开设置，两个出入口之间的距离应大于20米；大于1000个停车位的停车场（库），至少应设三个出入口。</w:t>
      </w:r>
    </w:p>
    <w:p w14:paraId="26226A26">
      <w:pPr>
        <w:numPr>
          <w:ilvl w:val="0"/>
          <w:numId w:val="1"/>
        </w:numPr>
        <w:adjustRightInd w:val="0"/>
        <w:snapToGrid w:val="0"/>
        <w:spacing w:line="630" w:lineRule="exact"/>
        <w:ind w:left="0" w:firstLine="640" w:firstLineChars="200"/>
        <w:rPr>
          <w:color w:val="auto"/>
          <w:szCs w:val="32"/>
          <w:highlight w:val="none"/>
          <w:u w:val="none"/>
        </w:rPr>
      </w:pPr>
      <w:r>
        <w:rPr>
          <w:color w:val="auto"/>
          <w:szCs w:val="32"/>
          <w:highlight w:val="none"/>
          <w:u w:val="none"/>
        </w:rPr>
        <w:t>室外机动车停车位不宜直接临城市道路布置，应优先设置于建筑物背面或侧面。当因地形限制确需直接临城市道路布置时，经营性项目</w:t>
      </w:r>
      <w:r>
        <w:rPr>
          <w:rFonts w:hint="eastAsia"/>
          <w:color w:val="auto"/>
          <w:szCs w:val="32"/>
          <w:highlight w:val="none"/>
          <w:u w:val="none"/>
        </w:rPr>
        <w:t>、公益性项目、仓储项目的</w:t>
      </w:r>
      <w:r>
        <w:rPr>
          <w:color w:val="auto"/>
          <w:szCs w:val="32"/>
          <w:highlight w:val="none"/>
          <w:u w:val="none"/>
        </w:rPr>
        <w:t>室外机动车停车位</w:t>
      </w:r>
      <w:r>
        <w:rPr>
          <w:rFonts w:hint="eastAsia"/>
          <w:color w:val="auto"/>
          <w:szCs w:val="32"/>
          <w:highlight w:val="none"/>
          <w:u w:val="none"/>
        </w:rPr>
        <w:t>及</w:t>
      </w:r>
      <w:r>
        <w:rPr>
          <w:rFonts w:hint="eastAsia"/>
          <w:color w:val="auto"/>
          <w:szCs w:val="32"/>
          <w:highlight w:val="none"/>
          <w:u w:val="none"/>
          <w:lang w:val="en-US" w:eastAsia="zh-CN"/>
        </w:rPr>
        <w:t>其</w:t>
      </w:r>
      <w:r>
        <w:rPr>
          <w:color w:val="auto"/>
          <w:szCs w:val="32"/>
          <w:highlight w:val="none"/>
          <w:u w:val="none"/>
        </w:rPr>
        <w:t>交通通道不应超出建筑红线，</w:t>
      </w:r>
      <w:r>
        <w:rPr>
          <w:rFonts w:hint="eastAsia"/>
          <w:color w:val="auto"/>
          <w:szCs w:val="32"/>
          <w:highlight w:val="none"/>
          <w:u w:val="none"/>
        </w:rPr>
        <w:t>并应在建筑红线外进行绿化景观遮挡</w:t>
      </w:r>
      <w:r>
        <w:rPr>
          <w:color w:val="auto"/>
          <w:szCs w:val="32"/>
          <w:highlight w:val="none"/>
          <w:u w:val="none"/>
        </w:rPr>
        <w:t>。</w:t>
      </w:r>
      <w:r>
        <w:rPr>
          <w:rFonts w:hint="eastAsia"/>
          <w:color w:val="auto"/>
          <w:szCs w:val="32"/>
          <w:highlight w:val="none"/>
          <w:u w:val="none"/>
        </w:rPr>
        <w:t>工业项目</w:t>
      </w:r>
      <w:r>
        <w:rPr>
          <w:color w:val="auto"/>
          <w:szCs w:val="32"/>
          <w:highlight w:val="none"/>
          <w:u w:val="none"/>
        </w:rPr>
        <w:t>（M</w:t>
      </w:r>
      <w:r>
        <w:rPr>
          <w:rFonts w:hint="eastAsia"/>
          <w:color w:val="auto"/>
          <w:szCs w:val="32"/>
          <w:highlight w:val="none"/>
          <w:u w:val="none"/>
        </w:rPr>
        <w:t>0</w:t>
      </w:r>
      <w:r>
        <w:rPr>
          <w:color w:val="auto"/>
          <w:szCs w:val="32"/>
          <w:highlight w:val="none"/>
          <w:u w:val="none"/>
        </w:rPr>
        <w:t>及位于重要地段</w:t>
      </w:r>
      <w:r>
        <w:rPr>
          <w:rFonts w:hint="eastAsia"/>
          <w:color w:val="auto"/>
          <w:szCs w:val="32"/>
          <w:highlight w:val="none"/>
          <w:u w:val="none"/>
        </w:rPr>
        <w:t>沿线</w:t>
      </w:r>
      <w:r>
        <w:rPr>
          <w:color w:val="auto"/>
          <w:szCs w:val="32"/>
          <w:highlight w:val="none"/>
          <w:u w:val="none"/>
        </w:rPr>
        <w:t>的</w:t>
      </w:r>
      <w:r>
        <w:rPr>
          <w:rFonts w:hint="eastAsia"/>
          <w:color w:val="auto"/>
          <w:szCs w:val="32"/>
          <w:highlight w:val="none"/>
          <w:u w:val="none"/>
        </w:rPr>
        <w:t>工业项目</w:t>
      </w:r>
      <w:r>
        <w:rPr>
          <w:color w:val="auto"/>
          <w:szCs w:val="32"/>
          <w:highlight w:val="none"/>
          <w:u w:val="none"/>
        </w:rPr>
        <w:t>参照经营性项目要求执行），室外机动车停车位不应超出建筑红线</w:t>
      </w:r>
      <w:r>
        <w:rPr>
          <w:rFonts w:hint="eastAsia"/>
          <w:color w:val="auto"/>
          <w:szCs w:val="32"/>
          <w:highlight w:val="none"/>
          <w:u w:val="none"/>
        </w:rPr>
        <w:t>，其交通通道超出建筑红线时，</w:t>
      </w:r>
      <w:r>
        <w:rPr>
          <w:color w:val="auto"/>
          <w:szCs w:val="32"/>
          <w:highlight w:val="none"/>
          <w:u w:val="none"/>
        </w:rPr>
        <w:t>需设置绿化景观带遮挡，当直接临36米及以上城市道路布置时，绿化景观遮挡</w:t>
      </w:r>
      <w:r>
        <w:rPr>
          <w:rFonts w:hint="eastAsia"/>
          <w:color w:val="auto"/>
          <w:szCs w:val="32"/>
          <w:highlight w:val="none"/>
          <w:u w:val="none"/>
        </w:rPr>
        <w:t>宽度</w:t>
      </w:r>
      <w:r>
        <w:rPr>
          <w:color w:val="auto"/>
          <w:szCs w:val="32"/>
          <w:highlight w:val="none"/>
          <w:u w:val="none"/>
        </w:rPr>
        <w:t>不应小于5米；当直接临36米以下城市道路布置时，绿化景观遮挡</w:t>
      </w:r>
      <w:r>
        <w:rPr>
          <w:rFonts w:hint="eastAsia"/>
          <w:color w:val="auto"/>
          <w:szCs w:val="32"/>
          <w:highlight w:val="none"/>
          <w:u w:val="none"/>
        </w:rPr>
        <w:t>宽度</w:t>
      </w:r>
      <w:r>
        <w:rPr>
          <w:color w:val="auto"/>
          <w:szCs w:val="32"/>
          <w:highlight w:val="none"/>
          <w:u w:val="none"/>
        </w:rPr>
        <w:t>不应小于2米。</w:t>
      </w:r>
    </w:p>
    <w:p w14:paraId="552421F9">
      <w:pPr>
        <w:pStyle w:val="2"/>
        <w:numPr>
          <w:ilvl w:val="-1"/>
          <w:numId w:val="0"/>
        </w:numPr>
        <w:adjustRightInd w:val="0"/>
        <w:snapToGrid w:val="0"/>
        <w:spacing w:line="630" w:lineRule="exact"/>
        <w:ind w:firstLine="560" w:firstLineChars="200"/>
        <w:rPr>
          <w:rFonts w:hint="eastAsia" w:ascii="Times New Roman" w:hAnsi="Times New Roman" w:eastAsia="仿宋_GB2312" w:cs="仿宋_GB2312"/>
          <w:bCs/>
          <w:strike w:val="0"/>
          <w:color w:val="auto"/>
          <w:szCs w:val="32"/>
          <w:highlight w:val="none"/>
          <w:u w:val="none"/>
          <w:lang w:eastAsia="zh-CN"/>
        </w:rPr>
      </w:pPr>
      <w:r>
        <w:rPr>
          <w:rFonts w:hint="eastAsia" w:ascii="Times New Roman" w:hAnsi="Times New Roman" w:eastAsia="楷体" w:cs="楷体"/>
          <w:color w:val="auto"/>
          <w:sz w:val="28"/>
          <w:szCs w:val="28"/>
          <w:highlight w:val="none"/>
          <w:u w:val="none"/>
          <w:lang w:val="en-US" w:eastAsia="zh-CN"/>
        </w:rPr>
        <w:t>【</w:t>
      </w:r>
      <w:r>
        <w:rPr>
          <w:rFonts w:hint="eastAsia" w:ascii="Times New Roman" w:hAnsi="Times New Roman" w:eastAsia="楷体" w:cs="楷体"/>
          <w:b/>
          <w:bCs/>
          <w:color w:val="auto"/>
          <w:sz w:val="28"/>
          <w:szCs w:val="28"/>
          <w:highlight w:val="none"/>
          <w:u w:val="none"/>
          <w:lang w:val="en-US" w:eastAsia="zh-CN"/>
        </w:rPr>
        <w:t>原技术审查标准</w:t>
      </w:r>
      <w:r>
        <w:rPr>
          <w:rFonts w:hint="eastAsia" w:ascii="Times New Roman" w:hAnsi="Times New Roman" w:eastAsia="楷体" w:cs="楷体"/>
          <w:color w:val="auto"/>
          <w:sz w:val="28"/>
          <w:szCs w:val="28"/>
          <w:highlight w:val="none"/>
          <w:u w:val="none"/>
          <w:lang w:val="en-US" w:eastAsia="zh-CN"/>
        </w:rPr>
        <w:t>】《技术规定》第二部分建筑篇第1.4.5条 （一）室外机动车停车位及其交通道不宜直接临城市道路布置，应优先设置于建筑物背面或侧面；当因地形限制确需直接临城市道路布置时，室外机动车停车位及其交通道不应超出建筑红线，并应在建筑红线外进行绿化景观遮挡。</w:t>
      </w:r>
    </w:p>
    <w:p w14:paraId="35C2DEEC">
      <w:pPr>
        <w:numPr>
          <w:ilvl w:val="0"/>
          <w:numId w:val="1"/>
        </w:numPr>
        <w:adjustRightInd w:val="0"/>
        <w:snapToGrid w:val="0"/>
        <w:spacing w:line="630" w:lineRule="exact"/>
        <w:ind w:firstLine="640" w:firstLineChars="200"/>
        <w:rPr>
          <w:rFonts w:hint="eastAsia"/>
          <w:color w:val="auto"/>
          <w:szCs w:val="32"/>
          <w:highlight w:val="none"/>
          <w:u w:val="none"/>
          <w:lang w:val="en-US" w:eastAsia="zh-CN"/>
        </w:rPr>
      </w:pPr>
      <w:r>
        <w:rPr>
          <w:rFonts w:hint="eastAsia"/>
          <w:color w:val="auto"/>
          <w:szCs w:val="32"/>
          <w:highlight w:val="none"/>
          <w:u w:val="none"/>
          <w:lang w:val="en-US" w:eastAsia="zh-CN"/>
        </w:rPr>
        <w:t>工业项目的配套设施占地面积不超过总用地面积的7%，配套设施的计容建筑面积需符合《工业项目建设用地控制指标》的要求。仓储项目的配套设施占地面积不超过总用地面积的7%，配套设施的计容建筑面积不超过项目总计容建筑面积的15%。配套设施中的宿舍、食堂、办公用房应与工业、仓储用房同步设计、同步报批、同步建设、同步验收。项目实行分期建设的，同期报建的上述配套设施计容建筑面积原则上不得超过同期报建（包括已报建）的总计容建筑面积的15%。</w:t>
      </w:r>
    </w:p>
    <w:p w14:paraId="09972CB9">
      <w:pPr>
        <w:pStyle w:val="2"/>
        <w:numPr>
          <w:ilvl w:val="0"/>
          <w:numId w:val="0"/>
        </w:numPr>
        <w:adjustRightInd w:val="0"/>
        <w:snapToGrid w:val="0"/>
        <w:spacing w:line="630" w:lineRule="exact"/>
        <w:ind w:firstLine="560" w:firstLineChars="200"/>
        <w:rPr>
          <w:rFonts w:hint="eastAsia"/>
          <w:color w:val="auto"/>
          <w:szCs w:val="32"/>
          <w:highlight w:val="none"/>
          <w:u w:val="none"/>
          <w:lang w:eastAsia="zh-CN"/>
        </w:rPr>
      </w:pPr>
      <w:r>
        <w:rPr>
          <w:rFonts w:hint="eastAsia" w:ascii="Times New Roman" w:hAnsi="Times New Roman" w:eastAsia="楷体" w:cs="楷体"/>
          <w:color w:val="auto"/>
          <w:sz w:val="28"/>
          <w:szCs w:val="28"/>
          <w:highlight w:val="none"/>
          <w:lang w:val="en-US" w:eastAsia="zh-CN"/>
        </w:rPr>
        <w:t>【</w:t>
      </w:r>
      <w:r>
        <w:rPr>
          <w:rFonts w:hint="eastAsia" w:ascii="Times New Roman" w:hAnsi="Times New Roman" w:eastAsia="楷体" w:cs="楷体"/>
          <w:b/>
          <w:bCs/>
          <w:color w:val="auto"/>
          <w:sz w:val="28"/>
          <w:szCs w:val="28"/>
          <w:highlight w:val="none"/>
          <w:lang w:val="en-US" w:eastAsia="zh-CN"/>
        </w:rPr>
        <w:t>原技术审查标准</w:t>
      </w:r>
      <w:r>
        <w:rPr>
          <w:rFonts w:hint="eastAsia" w:ascii="Times New Roman" w:hAnsi="Times New Roman" w:eastAsia="楷体" w:cs="楷体"/>
          <w:color w:val="auto"/>
          <w:sz w:val="28"/>
          <w:szCs w:val="28"/>
          <w:highlight w:val="none"/>
          <w:lang w:val="en-US" w:eastAsia="zh-CN"/>
        </w:rPr>
        <w:t>】《技术规定》第二部分建筑篇第1.6.4条 （二）配套设施占地面积不超过总用地面积的7%。工业项目配套设施的计容建筑面积不得超过项目总计容建筑面积的30%。仓储项目配套设施计容建筑面积不超过项目总计容建筑面积的15%；（三）配套设施用房应与工业、仓储用房同步设计、同步报批、同步建设、同步验收。项目实行分期建设的，同期报建的配套设施计容建筑面积原则上不得超过同期报建（包括已报建）的总计容建筑面积的30%；</w:t>
      </w:r>
    </w:p>
    <w:p w14:paraId="0BB83DBC">
      <w:pPr>
        <w:numPr>
          <w:ilvl w:val="0"/>
          <w:numId w:val="1"/>
        </w:numPr>
        <w:adjustRightInd w:val="0"/>
        <w:snapToGrid w:val="0"/>
        <w:spacing w:line="630" w:lineRule="exact"/>
        <w:ind w:firstLine="640" w:firstLineChars="200"/>
        <w:rPr>
          <w:rFonts w:hint="eastAsia"/>
          <w:color w:val="auto"/>
          <w:szCs w:val="32"/>
          <w:highlight w:val="none"/>
          <w:u w:val="none"/>
          <w:lang w:val="en-US" w:eastAsia="zh-CN"/>
        </w:rPr>
      </w:pPr>
      <w:r>
        <w:rPr>
          <w:rFonts w:hint="eastAsia"/>
          <w:color w:val="auto"/>
          <w:szCs w:val="32"/>
          <w:highlight w:val="none"/>
          <w:u w:val="none"/>
          <w:lang w:val="en-US" w:eastAsia="zh-CN"/>
        </w:rPr>
        <w:t>工业、仓储建筑须做好货物流线、装卸、垂直运输组织，保证货运简单便捷。非单层建筑原则上应配备不少于1台载重2吨以上货梯，并应邻近货梯设置卸货场地。</w:t>
      </w:r>
    </w:p>
    <w:p w14:paraId="45412FBA">
      <w:pPr>
        <w:pStyle w:val="2"/>
        <w:numPr>
          <w:ilvl w:val="0"/>
          <w:numId w:val="0"/>
        </w:numPr>
        <w:adjustRightInd w:val="0"/>
        <w:snapToGrid w:val="0"/>
        <w:spacing w:line="630" w:lineRule="exact"/>
        <w:ind w:firstLine="560" w:firstLineChars="200"/>
        <w:rPr>
          <w:rFonts w:hint="eastAsia" w:eastAsia="华康简标题宋" w:cs="Arial"/>
          <w:bCs/>
          <w:color w:val="auto"/>
          <w:szCs w:val="32"/>
          <w:highlight w:val="none"/>
          <w:u w:val="none"/>
        </w:rPr>
      </w:pPr>
      <w:r>
        <w:rPr>
          <w:rFonts w:hint="eastAsia" w:ascii="Times New Roman" w:hAnsi="Times New Roman" w:eastAsia="楷体" w:cs="楷体"/>
          <w:color w:val="auto"/>
          <w:sz w:val="28"/>
          <w:szCs w:val="28"/>
          <w:highlight w:val="none"/>
          <w:u w:val="none"/>
          <w:lang w:val="en-US" w:eastAsia="zh-CN"/>
        </w:rPr>
        <w:t>【</w:t>
      </w:r>
      <w:r>
        <w:rPr>
          <w:rFonts w:hint="eastAsia" w:ascii="Times New Roman" w:hAnsi="Times New Roman" w:eastAsia="楷体" w:cs="楷体"/>
          <w:b/>
          <w:bCs/>
          <w:color w:val="auto"/>
          <w:sz w:val="28"/>
          <w:szCs w:val="28"/>
          <w:highlight w:val="none"/>
          <w:u w:val="none"/>
          <w:lang w:val="en-US" w:eastAsia="zh-CN"/>
        </w:rPr>
        <w:t>原技术审查标准</w:t>
      </w:r>
      <w:r>
        <w:rPr>
          <w:rFonts w:hint="eastAsia" w:ascii="Times New Roman" w:hAnsi="Times New Roman" w:eastAsia="楷体" w:cs="楷体"/>
          <w:color w:val="auto"/>
          <w:sz w:val="28"/>
          <w:szCs w:val="28"/>
          <w:highlight w:val="none"/>
          <w:u w:val="none"/>
          <w:lang w:val="en-US" w:eastAsia="zh-CN"/>
        </w:rPr>
        <w:t>】《技术规定》第二部分建筑篇第2.5.6条 须做好货物流线、装卸、垂直运输组织，保证货运简单便捷。非单层建筑原则上应配备不少于2台载重3吨以上货梯，当建筑面积超过30000平方米时，超过部分需按每15000平方米设置至少1台载重2吨以上的货梯（超出部分不足15000平方米时按15000平方米计算）。应邻近货梯设置卸货场地，卸货场地面积按照每台货梯至少配备两台货车位计算。</w:t>
      </w:r>
    </w:p>
    <w:p w14:paraId="79EDB2B6">
      <w:pPr>
        <w:numPr>
          <w:ilvl w:val="0"/>
          <w:numId w:val="1"/>
        </w:numPr>
        <w:adjustRightInd w:val="0"/>
        <w:snapToGrid w:val="0"/>
        <w:spacing w:line="630" w:lineRule="exact"/>
        <w:ind w:firstLine="640" w:firstLineChars="200"/>
        <w:rPr>
          <w:rFonts w:hint="eastAsia"/>
          <w:color w:val="auto"/>
          <w:szCs w:val="32"/>
          <w:highlight w:val="none"/>
          <w:u w:val="none"/>
          <w:lang w:val="en-US" w:eastAsia="zh-CN"/>
        </w:rPr>
      </w:pPr>
      <w:r>
        <w:rPr>
          <w:rFonts w:hint="eastAsia"/>
          <w:color w:val="auto"/>
          <w:szCs w:val="32"/>
          <w:highlight w:val="none"/>
          <w:u w:val="none"/>
          <w:lang w:val="en-US" w:eastAsia="zh-CN"/>
        </w:rPr>
        <w:t>工业、仓储建筑不设楼地面荷载下限要求。</w:t>
      </w:r>
    </w:p>
    <w:p w14:paraId="350B1192">
      <w:pPr>
        <w:numPr>
          <w:ilvl w:val="-1"/>
          <w:numId w:val="0"/>
        </w:numPr>
        <w:adjustRightInd w:val="0"/>
        <w:snapToGrid w:val="0"/>
        <w:spacing w:line="630" w:lineRule="exact"/>
        <w:ind w:leftChars="0" w:firstLine="560" w:firstLineChars="200"/>
        <w:rPr>
          <w:rFonts w:hint="eastAsia" w:ascii="Times New Roman" w:hAnsi="Times New Roman" w:eastAsia="仿宋_GB2312" w:cs="仿宋_GB2312"/>
          <w:b w:val="0"/>
          <w:bCs/>
          <w:color w:val="auto"/>
          <w:szCs w:val="32"/>
          <w:highlight w:val="none"/>
          <w:u w:val="none"/>
          <w:lang w:val="en-US" w:eastAsia="zh-CN"/>
        </w:rPr>
      </w:pPr>
      <w:r>
        <w:rPr>
          <w:rFonts w:hint="eastAsia" w:ascii="Times New Roman" w:hAnsi="Times New Roman" w:eastAsia="楷体" w:cs="楷体"/>
          <w:color w:val="auto"/>
          <w:sz w:val="28"/>
          <w:szCs w:val="28"/>
          <w:highlight w:val="none"/>
          <w:u w:val="none"/>
          <w:lang w:val="en-US" w:eastAsia="zh-CN"/>
        </w:rPr>
        <w:t>【</w:t>
      </w:r>
      <w:r>
        <w:rPr>
          <w:rFonts w:hint="eastAsia" w:ascii="Times New Roman" w:hAnsi="Times New Roman" w:eastAsia="楷体" w:cs="楷体"/>
          <w:b/>
          <w:bCs/>
          <w:color w:val="auto"/>
          <w:sz w:val="28"/>
          <w:szCs w:val="28"/>
          <w:highlight w:val="none"/>
          <w:u w:val="none"/>
          <w:lang w:val="en-US" w:eastAsia="zh-CN"/>
        </w:rPr>
        <w:t>原技术审查标准</w:t>
      </w:r>
      <w:r>
        <w:rPr>
          <w:rFonts w:hint="eastAsia" w:ascii="Times New Roman" w:hAnsi="Times New Roman" w:eastAsia="楷体" w:cs="楷体"/>
          <w:color w:val="auto"/>
          <w:sz w:val="28"/>
          <w:szCs w:val="28"/>
          <w:highlight w:val="none"/>
          <w:u w:val="none"/>
          <w:lang w:val="en-US" w:eastAsia="zh-CN"/>
        </w:rPr>
        <w:t>】《技术规定》第二部分建筑篇第2.5.7条 首层地面荷载不宜低于1200公斤/平方米，二、三层楼层荷载不宜低于800公斤/平方米，四层以上楼层荷载不宜低于650公斤/平方米。</w:t>
      </w:r>
    </w:p>
    <w:p w14:paraId="74E0910F">
      <w:pPr>
        <w:numPr>
          <w:ilvl w:val="0"/>
          <w:numId w:val="1"/>
        </w:numPr>
        <w:adjustRightInd w:val="0"/>
        <w:snapToGrid w:val="0"/>
        <w:spacing w:line="630" w:lineRule="exact"/>
        <w:ind w:firstLine="640" w:firstLineChars="200"/>
        <w:rPr>
          <w:rFonts w:hint="eastAsia"/>
          <w:color w:val="auto"/>
          <w:szCs w:val="32"/>
          <w:highlight w:val="none"/>
          <w:u w:val="none"/>
          <w:lang w:val="en-US" w:eastAsia="zh-CN"/>
        </w:rPr>
      </w:pPr>
      <w:r>
        <w:rPr>
          <w:rFonts w:hint="eastAsia"/>
          <w:color w:val="auto"/>
          <w:szCs w:val="32"/>
          <w:highlight w:val="none"/>
          <w:u w:val="none"/>
          <w:lang w:val="en-US" w:eastAsia="zh-CN"/>
        </w:rPr>
        <w:t>工业、仓储建筑中设置的开放型设备平台，其宽度不应超过0.6米；超过0.6米的，须提供生产工艺及设备说明。</w:t>
      </w:r>
    </w:p>
    <w:p w14:paraId="3CE37CC9">
      <w:pPr>
        <w:numPr>
          <w:ilvl w:val="-1"/>
          <w:numId w:val="0"/>
        </w:numPr>
        <w:adjustRightInd w:val="0"/>
        <w:snapToGrid w:val="0"/>
        <w:spacing w:line="630" w:lineRule="exact"/>
        <w:ind w:leftChars="0" w:firstLine="560" w:firstLineChars="200"/>
        <w:rPr>
          <w:color w:val="auto"/>
          <w:szCs w:val="32"/>
          <w:highlight w:val="none"/>
          <w:u w:val="none"/>
        </w:rPr>
      </w:pPr>
      <w:r>
        <w:rPr>
          <w:rFonts w:hint="eastAsia" w:ascii="Times New Roman" w:hAnsi="Times New Roman" w:eastAsia="楷体" w:cs="楷体"/>
          <w:color w:val="auto"/>
          <w:sz w:val="28"/>
          <w:szCs w:val="28"/>
          <w:highlight w:val="none"/>
          <w:u w:val="none"/>
          <w:lang w:val="en-US" w:eastAsia="zh-CN"/>
        </w:rPr>
        <w:t>【</w:t>
      </w:r>
      <w:r>
        <w:rPr>
          <w:rFonts w:hint="eastAsia" w:ascii="Times New Roman" w:hAnsi="Times New Roman" w:eastAsia="楷体" w:cs="楷体"/>
          <w:b/>
          <w:bCs/>
          <w:color w:val="auto"/>
          <w:sz w:val="28"/>
          <w:szCs w:val="28"/>
          <w:highlight w:val="none"/>
          <w:u w:val="none"/>
          <w:lang w:val="en-US" w:eastAsia="zh-CN"/>
        </w:rPr>
        <w:t>原技术审查标准</w:t>
      </w:r>
      <w:r>
        <w:rPr>
          <w:rFonts w:hint="eastAsia" w:ascii="Times New Roman" w:hAnsi="Times New Roman" w:eastAsia="楷体" w:cs="楷体"/>
          <w:color w:val="auto"/>
          <w:sz w:val="28"/>
          <w:szCs w:val="28"/>
          <w:highlight w:val="none"/>
          <w:u w:val="none"/>
          <w:lang w:val="en-US" w:eastAsia="zh-CN"/>
        </w:rPr>
        <w:t>】《技术规定》第二部分建筑篇第2.5.12条 建筑中设置的开放型设备平台，其宽度不应超过0.6米；超过0.6米的，应参照阳台的设计要求执行。</w:t>
      </w:r>
    </w:p>
    <w:p w14:paraId="537961EF">
      <w:pPr>
        <w:numPr>
          <w:ilvl w:val="0"/>
          <w:numId w:val="1"/>
        </w:numPr>
        <w:adjustRightInd w:val="0"/>
        <w:snapToGrid w:val="0"/>
        <w:spacing w:line="630" w:lineRule="exact"/>
        <w:ind w:firstLine="640" w:firstLineChars="200"/>
        <w:rPr>
          <w:color w:val="auto"/>
          <w:kern w:val="2"/>
          <w:sz w:val="32"/>
          <w:szCs w:val="32"/>
          <w:highlight w:val="none"/>
          <w:u w:val="none"/>
          <w:lang w:bidi="ar"/>
        </w:rPr>
      </w:pPr>
      <w:r>
        <w:rPr>
          <w:color w:val="auto"/>
          <w:kern w:val="2"/>
          <w:sz w:val="32"/>
          <w:szCs w:val="32"/>
          <w:highlight w:val="none"/>
          <w:u w:val="none"/>
          <w:lang w:bidi="ar"/>
        </w:rPr>
        <w:t>建筑物的建筑面积</w:t>
      </w:r>
      <w:r>
        <w:rPr>
          <w:rFonts w:hint="eastAsia"/>
          <w:color w:val="auto"/>
          <w:kern w:val="2"/>
          <w:sz w:val="32"/>
          <w:szCs w:val="32"/>
          <w:highlight w:val="none"/>
          <w:u w:val="none"/>
          <w:lang w:bidi="ar"/>
        </w:rPr>
        <w:t>计算，应优先执行 《民用建筑通用规范》中关于建筑面积计算的规定；该规范未涵盖的，可参照《建筑工程建筑面积计算规范》执行</w:t>
      </w:r>
      <w:r>
        <w:rPr>
          <w:color w:val="auto"/>
          <w:kern w:val="2"/>
          <w:sz w:val="32"/>
          <w:szCs w:val="32"/>
          <w:highlight w:val="none"/>
          <w:u w:val="none"/>
          <w:lang w:bidi="ar"/>
        </w:rPr>
        <w:t>。</w:t>
      </w:r>
    </w:p>
    <w:p w14:paraId="3652122C">
      <w:pPr>
        <w:pStyle w:val="2"/>
        <w:numPr>
          <w:ilvl w:val="0"/>
          <w:numId w:val="0"/>
        </w:numPr>
        <w:adjustRightInd w:val="0"/>
        <w:snapToGrid w:val="0"/>
        <w:spacing w:line="630" w:lineRule="exact"/>
        <w:ind w:firstLine="560" w:firstLineChars="200"/>
        <w:rPr>
          <w:color w:val="auto"/>
          <w:kern w:val="2"/>
          <w:sz w:val="32"/>
          <w:szCs w:val="32"/>
          <w:highlight w:val="none"/>
          <w:u w:val="none"/>
          <w:lang w:bidi="ar"/>
        </w:rPr>
      </w:pPr>
      <w:r>
        <w:rPr>
          <w:rFonts w:hint="eastAsia" w:ascii="Times New Roman" w:hAnsi="Times New Roman" w:eastAsia="楷体" w:cs="楷体"/>
          <w:color w:val="auto"/>
          <w:sz w:val="28"/>
          <w:szCs w:val="28"/>
          <w:highlight w:val="none"/>
          <w:u w:val="none"/>
          <w:lang w:val="en-US" w:eastAsia="zh-CN"/>
        </w:rPr>
        <w:t>【</w:t>
      </w:r>
      <w:r>
        <w:rPr>
          <w:rFonts w:hint="eastAsia" w:ascii="Times New Roman" w:hAnsi="Times New Roman" w:eastAsia="楷体" w:cs="楷体"/>
          <w:b/>
          <w:bCs/>
          <w:color w:val="auto"/>
          <w:sz w:val="28"/>
          <w:szCs w:val="28"/>
          <w:highlight w:val="none"/>
          <w:u w:val="none"/>
          <w:lang w:val="en-US" w:eastAsia="zh-CN"/>
        </w:rPr>
        <w:t>原技术审查标准</w:t>
      </w:r>
      <w:r>
        <w:rPr>
          <w:rFonts w:hint="eastAsia" w:ascii="Times New Roman" w:hAnsi="Times New Roman" w:eastAsia="楷体" w:cs="楷体"/>
          <w:color w:val="auto"/>
          <w:sz w:val="28"/>
          <w:szCs w:val="28"/>
          <w:highlight w:val="none"/>
          <w:u w:val="none"/>
          <w:lang w:val="en-US" w:eastAsia="zh-CN"/>
        </w:rPr>
        <w:t>】《技术规定》第二部分建筑篇第3.2.1条 建筑物的建筑面积须按照《建设工程建筑面积计算规范》（最新版）的要求进行计算。</w:t>
      </w:r>
    </w:p>
    <w:p w14:paraId="0BC19AC5">
      <w:pPr>
        <w:numPr>
          <w:ilvl w:val="0"/>
          <w:numId w:val="1"/>
        </w:numPr>
        <w:adjustRightInd w:val="0"/>
        <w:snapToGrid w:val="0"/>
        <w:spacing w:line="630" w:lineRule="exact"/>
        <w:ind w:firstLine="640" w:firstLineChars="200"/>
        <w:rPr>
          <w:rFonts w:hint="eastAsia" w:eastAsia="仿宋_GB2312"/>
          <w:color w:val="auto"/>
          <w:szCs w:val="32"/>
          <w:highlight w:val="none"/>
          <w:u w:val="none"/>
          <w:lang w:val="en-US" w:eastAsia="zh-CN" w:bidi="ar"/>
        </w:rPr>
      </w:pPr>
      <w:r>
        <w:rPr>
          <w:color w:val="auto"/>
          <w:szCs w:val="32"/>
          <w:highlight w:val="none"/>
          <w:u w:val="none"/>
        </w:rPr>
        <w:t>阳台建筑面积应按围护设施外表面所围空间水平投影面积的1/2计算；当阳台封闭时，应按其外围护结构外表面所围空间的水平投影面积计算。</w:t>
      </w:r>
      <w:r>
        <w:rPr>
          <w:rFonts w:hint="eastAsia"/>
          <w:color w:val="auto"/>
          <w:szCs w:val="32"/>
          <w:highlight w:val="none"/>
          <w:u w:val="none"/>
          <w:lang w:val="en-US" w:eastAsia="zh-CN"/>
        </w:rPr>
        <w:t xml:space="preserve"> </w:t>
      </w:r>
    </w:p>
    <w:p w14:paraId="1C9C4CEB">
      <w:pPr>
        <w:pStyle w:val="2"/>
        <w:numPr>
          <w:ilvl w:val="0"/>
          <w:numId w:val="0"/>
        </w:numPr>
        <w:adjustRightInd w:val="0"/>
        <w:snapToGrid w:val="0"/>
        <w:spacing w:line="630" w:lineRule="exact"/>
        <w:ind w:leftChars="0" w:firstLine="560" w:firstLineChars="200"/>
        <w:rPr>
          <w:rFonts w:hint="eastAsia"/>
          <w:color w:val="auto"/>
          <w:highlight w:val="none"/>
          <w:u w:val="none"/>
          <w:lang w:val="en-US" w:eastAsia="zh-CN"/>
        </w:rPr>
      </w:pPr>
      <w:r>
        <w:rPr>
          <w:rFonts w:hint="eastAsia" w:ascii="Times New Roman" w:hAnsi="Times New Roman" w:eastAsia="楷体" w:cs="楷体"/>
          <w:color w:val="auto"/>
          <w:sz w:val="28"/>
          <w:szCs w:val="28"/>
          <w:highlight w:val="none"/>
          <w:u w:val="none"/>
          <w:lang w:val="en-US" w:eastAsia="zh-CN"/>
        </w:rPr>
        <w:t>【</w:t>
      </w:r>
      <w:r>
        <w:rPr>
          <w:rFonts w:hint="eastAsia" w:ascii="Times New Roman" w:hAnsi="Times New Roman" w:eastAsia="楷体" w:cs="楷体"/>
          <w:b/>
          <w:bCs/>
          <w:color w:val="auto"/>
          <w:sz w:val="28"/>
          <w:szCs w:val="28"/>
          <w:highlight w:val="none"/>
          <w:u w:val="none"/>
          <w:lang w:val="en-US" w:eastAsia="zh-CN"/>
        </w:rPr>
        <w:t>原技术审查标准</w:t>
      </w:r>
      <w:r>
        <w:rPr>
          <w:rFonts w:hint="eastAsia" w:ascii="Times New Roman" w:hAnsi="Times New Roman" w:eastAsia="楷体" w:cs="楷体"/>
          <w:color w:val="auto"/>
          <w:sz w:val="28"/>
          <w:szCs w:val="28"/>
          <w:highlight w:val="none"/>
          <w:u w:val="none"/>
          <w:lang w:val="en-US" w:eastAsia="zh-CN"/>
        </w:rPr>
        <w:t>】《技术规定》第二部分建筑篇第3.2.6条 在计算阳台的建筑面积时，其周边突出或独立于建筑物主体外的不起结构承重作用的墙或柱，不认定为建筑物的主体结构。非主体结构的墙或柱应仅设置在建筑物二层及以上，不能直接落地。独立突出于外墙、开间宽度大于0.6米的结构柱，应按其水平投影区域计算入主体结构内。</w:t>
      </w:r>
    </w:p>
    <w:p w14:paraId="55112FC0">
      <w:pPr>
        <w:numPr>
          <w:ilvl w:val="0"/>
          <w:numId w:val="1"/>
        </w:numPr>
        <w:adjustRightInd w:val="0"/>
        <w:snapToGrid w:val="0"/>
        <w:spacing w:line="630" w:lineRule="exact"/>
        <w:ind w:firstLine="640" w:firstLineChars="200"/>
        <w:rPr>
          <w:rFonts w:hint="eastAsia" w:eastAsia="仿宋_GB2312"/>
          <w:color w:val="auto"/>
          <w:szCs w:val="32"/>
          <w:highlight w:val="none"/>
          <w:u w:val="none"/>
          <w:lang w:eastAsia="zh-CN"/>
        </w:rPr>
      </w:pPr>
      <w:r>
        <w:rPr>
          <w:rFonts w:hint="eastAsia"/>
          <w:color w:val="auto"/>
          <w:szCs w:val="32"/>
          <w:highlight w:val="none"/>
          <w:u w:val="none"/>
          <w:lang w:val="en-US" w:eastAsia="zh-CN"/>
        </w:rPr>
        <w:t>调整或增加以下可豁免计容的情形</w:t>
      </w:r>
      <w:r>
        <w:rPr>
          <w:rFonts w:hint="eastAsia"/>
          <w:color w:val="auto"/>
          <w:szCs w:val="32"/>
          <w:highlight w:val="none"/>
          <w:u w:val="none"/>
          <w:lang w:eastAsia="zh-CN"/>
        </w:rPr>
        <w:t>：</w:t>
      </w:r>
    </w:p>
    <w:p w14:paraId="64BC3017">
      <w:pPr>
        <w:numPr>
          <w:ilvl w:val="0"/>
          <w:numId w:val="2"/>
        </w:numPr>
        <w:adjustRightInd w:val="0"/>
        <w:snapToGrid w:val="0"/>
        <w:spacing w:line="630" w:lineRule="exact"/>
        <w:ind w:firstLine="640" w:firstLineChars="200"/>
        <w:rPr>
          <w:color w:val="auto"/>
          <w:szCs w:val="32"/>
          <w:highlight w:val="none"/>
          <w:u w:val="none"/>
        </w:rPr>
      </w:pPr>
      <w:r>
        <w:rPr>
          <w:color w:val="auto"/>
          <w:szCs w:val="32"/>
          <w:highlight w:val="none"/>
          <w:u w:val="none"/>
        </w:rPr>
        <w:t>在</w:t>
      </w:r>
      <w:r>
        <w:rPr>
          <w:rFonts w:hint="eastAsia"/>
          <w:color w:val="auto"/>
          <w:szCs w:val="32"/>
          <w:highlight w:val="none"/>
          <w:u w:val="none"/>
        </w:rPr>
        <w:t>首层</w:t>
      </w:r>
      <w:r>
        <w:rPr>
          <w:color w:val="auto"/>
          <w:szCs w:val="32"/>
          <w:highlight w:val="none"/>
          <w:u w:val="none"/>
        </w:rPr>
        <w:t>设置的，为城市服务的开放型公交首末站、枢纽站的站场区域；</w:t>
      </w:r>
    </w:p>
    <w:p w14:paraId="3778AB8B">
      <w:pPr>
        <w:pStyle w:val="2"/>
        <w:numPr>
          <w:ilvl w:val="0"/>
          <w:numId w:val="0"/>
        </w:numPr>
        <w:adjustRightInd w:val="0"/>
        <w:snapToGrid w:val="0"/>
        <w:spacing w:line="630" w:lineRule="exact"/>
        <w:ind w:firstLine="560" w:firstLineChars="200"/>
        <w:rPr>
          <w:color w:val="auto"/>
          <w:highlight w:val="none"/>
          <w:u w:val="none"/>
        </w:rPr>
      </w:pPr>
      <w:r>
        <w:rPr>
          <w:rFonts w:hint="eastAsia" w:ascii="Times New Roman" w:hAnsi="Times New Roman" w:eastAsia="楷体" w:cs="楷体"/>
          <w:color w:val="auto"/>
          <w:sz w:val="28"/>
          <w:szCs w:val="28"/>
          <w:highlight w:val="none"/>
          <w:u w:val="none"/>
          <w:lang w:val="en-US" w:eastAsia="zh-CN"/>
        </w:rPr>
        <w:t>【</w:t>
      </w:r>
      <w:r>
        <w:rPr>
          <w:rFonts w:hint="eastAsia" w:ascii="Times New Roman" w:hAnsi="Times New Roman" w:eastAsia="楷体" w:cs="楷体"/>
          <w:b/>
          <w:bCs/>
          <w:color w:val="auto"/>
          <w:sz w:val="28"/>
          <w:szCs w:val="28"/>
          <w:highlight w:val="none"/>
          <w:u w:val="none"/>
          <w:lang w:val="en-US" w:eastAsia="zh-CN"/>
        </w:rPr>
        <w:t>原技术审查标准</w:t>
      </w:r>
      <w:r>
        <w:rPr>
          <w:rFonts w:hint="eastAsia" w:ascii="Times New Roman" w:hAnsi="Times New Roman" w:eastAsia="楷体" w:cs="楷体"/>
          <w:color w:val="auto"/>
          <w:sz w:val="28"/>
          <w:szCs w:val="28"/>
          <w:highlight w:val="none"/>
          <w:u w:val="none"/>
          <w:lang w:val="en-US" w:eastAsia="zh-CN"/>
        </w:rPr>
        <w:t>】《技术规定》第二部分建筑篇第3.3.2条（二） 在架空层设置的，为城市服务的开放型公交首末站、枢纽站的站场区域；</w:t>
      </w:r>
    </w:p>
    <w:p w14:paraId="4D083822">
      <w:pPr>
        <w:numPr>
          <w:ilvl w:val="0"/>
          <w:numId w:val="2"/>
        </w:numPr>
        <w:adjustRightInd w:val="0"/>
        <w:snapToGrid w:val="0"/>
        <w:spacing w:line="630" w:lineRule="exact"/>
        <w:ind w:firstLine="640" w:firstLineChars="200"/>
        <w:rPr>
          <w:color w:val="auto"/>
          <w:szCs w:val="32"/>
          <w:highlight w:val="none"/>
          <w:u w:val="none"/>
        </w:rPr>
      </w:pPr>
      <w:r>
        <w:rPr>
          <w:color w:val="auto"/>
          <w:szCs w:val="32"/>
          <w:highlight w:val="none"/>
          <w:u w:val="none"/>
        </w:rPr>
        <w:t>底层净高不小于4.0米，跨越市政道路、城市广场和绿地等城市公共空间上空连接不同地块、或位于公共设施用地（不包括商业金融用地、科研设计用地）内部仅供自用的无围护结构的架空走廊、风雨走（连）廊；</w:t>
      </w:r>
      <w:r>
        <w:rPr>
          <w:rFonts w:hint="eastAsia"/>
          <w:color w:val="auto"/>
          <w:szCs w:val="32"/>
          <w:highlight w:val="none"/>
          <w:u w:val="none"/>
        </w:rPr>
        <w:t>底层净高不小于4.0米，</w:t>
      </w:r>
      <w:r>
        <w:rPr>
          <w:color w:val="auto"/>
          <w:szCs w:val="32"/>
          <w:highlight w:val="none"/>
          <w:u w:val="none"/>
        </w:rPr>
        <w:t>位于其他类型用地内部仅供自用的无围护结构、宽度不大于2倍层高且不大于9.0米的架空走廊、风雨走（连）廊（注：宽度超过以上尺寸的区域，其建筑面积仍需计算入容积率）；</w:t>
      </w:r>
    </w:p>
    <w:p w14:paraId="76EDDBB8">
      <w:pPr>
        <w:pStyle w:val="2"/>
        <w:numPr>
          <w:ilvl w:val="0"/>
          <w:numId w:val="0"/>
        </w:numPr>
        <w:adjustRightInd w:val="0"/>
        <w:snapToGrid w:val="0"/>
        <w:spacing w:line="630" w:lineRule="exact"/>
        <w:ind w:firstLine="560" w:firstLineChars="200"/>
        <w:rPr>
          <w:color w:val="auto"/>
          <w:highlight w:val="none"/>
          <w:u w:val="none"/>
        </w:rPr>
      </w:pPr>
      <w:r>
        <w:rPr>
          <w:rFonts w:hint="eastAsia" w:ascii="Times New Roman" w:hAnsi="Times New Roman" w:eastAsia="楷体" w:cs="楷体"/>
          <w:color w:val="auto"/>
          <w:sz w:val="28"/>
          <w:szCs w:val="28"/>
          <w:highlight w:val="none"/>
          <w:u w:val="none"/>
          <w:lang w:val="en-US" w:eastAsia="zh-CN"/>
        </w:rPr>
        <w:t>【</w:t>
      </w:r>
      <w:r>
        <w:rPr>
          <w:rFonts w:hint="eastAsia" w:ascii="Times New Roman" w:hAnsi="Times New Roman" w:eastAsia="楷体" w:cs="楷体"/>
          <w:b/>
          <w:bCs/>
          <w:color w:val="auto"/>
          <w:sz w:val="28"/>
          <w:szCs w:val="28"/>
          <w:highlight w:val="none"/>
          <w:u w:val="none"/>
          <w:lang w:val="en-US" w:eastAsia="zh-CN"/>
        </w:rPr>
        <w:t>原技术审查标准</w:t>
      </w:r>
      <w:r>
        <w:rPr>
          <w:rFonts w:hint="eastAsia" w:ascii="Times New Roman" w:hAnsi="Times New Roman" w:eastAsia="楷体" w:cs="楷体"/>
          <w:color w:val="auto"/>
          <w:sz w:val="28"/>
          <w:szCs w:val="28"/>
          <w:highlight w:val="none"/>
          <w:u w:val="none"/>
          <w:lang w:val="en-US" w:eastAsia="zh-CN"/>
        </w:rPr>
        <w:t>】《技术规定》第二部分建筑篇第3.3.2条（三） 底层净高不小于4.0米，跨越市政道路、城市广场和绿地等城市公共空间上空连接不同地块、或位于公共设施用地（不包括商业金融用地、科研设计用地）内部仅供自用的无围护结构的架空走廊；底层净高不小于4.0米，位于其他类型用地内部仅供自用的无围护结构、宽度不大于2倍层高且不大于9.0米的架空走廊（注：宽度超过以上尺寸的区域，其建筑面积仍需计算入容积率）；</w:t>
      </w:r>
    </w:p>
    <w:p w14:paraId="4E3B97F4">
      <w:pPr>
        <w:numPr>
          <w:ilvl w:val="0"/>
          <w:numId w:val="2"/>
        </w:numPr>
        <w:adjustRightInd w:val="0"/>
        <w:snapToGrid w:val="0"/>
        <w:spacing w:line="630" w:lineRule="exact"/>
        <w:ind w:firstLine="640" w:firstLineChars="200"/>
        <w:rPr>
          <w:color w:val="auto"/>
          <w:szCs w:val="32"/>
          <w:highlight w:val="none"/>
          <w:u w:val="none"/>
        </w:rPr>
      </w:pPr>
      <w:r>
        <w:rPr>
          <w:color w:val="auto"/>
          <w:szCs w:val="32"/>
          <w:highlight w:val="none"/>
          <w:u w:val="none"/>
        </w:rPr>
        <w:t>符合不计容标准地下车库，其地面以上汽车坡道、自行车坡道、</w:t>
      </w:r>
      <w:r>
        <w:rPr>
          <w:rFonts w:hint="eastAsia"/>
          <w:color w:val="auto"/>
          <w:szCs w:val="32"/>
          <w:highlight w:val="none"/>
          <w:u w:val="none"/>
        </w:rPr>
        <w:t>楼梯</w:t>
      </w:r>
      <w:r>
        <w:rPr>
          <w:color w:val="auto"/>
          <w:szCs w:val="32"/>
          <w:highlight w:val="none"/>
          <w:u w:val="none"/>
        </w:rPr>
        <w:t>出入口等附属建筑；</w:t>
      </w:r>
    </w:p>
    <w:p w14:paraId="6503BA49">
      <w:pPr>
        <w:pStyle w:val="2"/>
        <w:numPr>
          <w:ilvl w:val="-1"/>
          <w:numId w:val="0"/>
        </w:numPr>
        <w:adjustRightInd w:val="0"/>
        <w:snapToGrid w:val="0"/>
        <w:spacing w:line="630" w:lineRule="exact"/>
        <w:ind w:firstLine="560" w:firstLineChars="200"/>
        <w:rPr>
          <w:color w:val="auto"/>
          <w:highlight w:val="none"/>
          <w:u w:val="none"/>
        </w:rPr>
      </w:pPr>
      <w:r>
        <w:rPr>
          <w:rFonts w:hint="eastAsia" w:ascii="Times New Roman" w:hAnsi="Times New Roman" w:eastAsia="楷体" w:cs="楷体"/>
          <w:color w:val="auto"/>
          <w:sz w:val="28"/>
          <w:szCs w:val="28"/>
          <w:highlight w:val="none"/>
          <w:u w:val="none"/>
          <w:lang w:val="en-US" w:eastAsia="zh-CN"/>
        </w:rPr>
        <w:t>【</w:t>
      </w:r>
      <w:r>
        <w:rPr>
          <w:rFonts w:hint="eastAsia" w:ascii="Times New Roman" w:hAnsi="Times New Roman" w:eastAsia="楷体" w:cs="楷体"/>
          <w:b/>
          <w:bCs/>
          <w:color w:val="auto"/>
          <w:sz w:val="28"/>
          <w:szCs w:val="28"/>
          <w:highlight w:val="none"/>
          <w:u w:val="none"/>
          <w:lang w:val="en-US" w:eastAsia="zh-CN"/>
        </w:rPr>
        <w:t>原技术审查标准</w:t>
      </w:r>
      <w:r>
        <w:rPr>
          <w:rFonts w:hint="eastAsia" w:ascii="Times New Roman" w:hAnsi="Times New Roman" w:eastAsia="楷体" w:cs="楷体"/>
          <w:color w:val="auto"/>
          <w:sz w:val="28"/>
          <w:szCs w:val="28"/>
          <w:highlight w:val="none"/>
          <w:u w:val="none"/>
          <w:lang w:val="en-US" w:eastAsia="zh-CN"/>
        </w:rPr>
        <w:t>】《技术规定》第二部分建筑篇第3.3.2条（六） 符合不计容标准地下车库，其地面以上无维护结构、对外开敞的汽车坡道、自行车坡道、出入口等附属建筑；</w:t>
      </w:r>
    </w:p>
    <w:p w14:paraId="25F3E1CC">
      <w:pPr>
        <w:numPr>
          <w:ilvl w:val="0"/>
          <w:numId w:val="2"/>
        </w:numPr>
        <w:adjustRightInd w:val="0"/>
        <w:snapToGrid w:val="0"/>
        <w:spacing w:line="630" w:lineRule="exact"/>
        <w:ind w:firstLine="640" w:firstLineChars="200"/>
        <w:rPr>
          <w:color w:val="auto"/>
          <w:szCs w:val="32"/>
          <w:highlight w:val="none"/>
          <w:u w:val="none"/>
        </w:rPr>
      </w:pPr>
      <w:r>
        <w:rPr>
          <w:color w:val="auto"/>
          <w:szCs w:val="32"/>
          <w:highlight w:val="none"/>
          <w:u w:val="none"/>
        </w:rPr>
        <w:t>除联排式住宅外的其他建筑物，其仅设置楼梯间、水箱间、电梯机房、风机房和人防报警间、无围护结构的装饰性亭、出屋面的独立烟道和管道井等辅助性房间和构件，没有布置其它功能房间，且上述辅助性房间和构件的建筑面积之和不超过本层屋面水平投影面积的1/6的建筑物屋面；</w:t>
      </w:r>
    </w:p>
    <w:p w14:paraId="5459ABC5">
      <w:pPr>
        <w:pStyle w:val="2"/>
        <w:numPr>
          <w:ilvl w:val="-1"/>
          <w:numId w:val="0"/>
        </w:numPr>
        <w:adjustRightInd w:val="0"/>
        <w:snapToGrid w:val="0"/>
        <w:spacing w:line="630" w:lineRule="exact"/>
        <w:ind w:firstLine="560" w:firstLineChars="200"/>
        <w:rPr>
          <w:color w:val="auto"/>
          <w:highlight w:val="none"/>
          <w:u w:val="none"/>
        </w:rPr>
      </w:pPr>
      <w:r>
        <w:rPr>
          <w:rFonts w:hint="eastAsia" w:ascii="Times New Roman" w:hAnsi="Times New Roman" w:eastAsia="楷体" w:cs="楷体"/>
          <w:color w:val="auto"/>
          <w:sz w:val="28"/>
          <w:szCs w:val="28"/>
          <w:highlight w:val="none"/>
          <w:u w:val="none"/>
          <w:lang w:val="en-US" w:eastAsia="zh-CN"/>
        </w:rPr>
        <w:t>【</w:t>
      </w:r>
      <w:r>
        <w:rPr>
          <w:rFonts w:hint="eastAsia" w:ascii="Times New Roman" w:hAnsi="Times New Roman" w:eastAsia="楷体" w:cs="楷体"/>
          <w:b/>
          <w:bCs/>
          <w:color w:val="auto"/>
          <w:sz w:val="28"/>
          <w:szCs w:val="28"/>
          <w:highlight w:val="none"/>
          <w:u w:val="none"/>
          <w:lang w:val="en-US" w:eastAsia="zh-CN"/>
        </w:rPr>
        <w:t>原技术审查标准</w:t>
      </w:r>
      <w:r>
        <w:rPr>
          <w:rFonts w:hint="eastAsia" w:ascii="Times New Roman" w:hAnsi="Times New Roman" w:eastAsia="楷体" w:cs="楷体"/>
          <w:color w:val="auto"/>
          <w:sz w:val="28"/>
          <w:szCs w:val="28"/>
          <w:highlight w:val="none"/>
          <w:u w:val="none"/>
          <w:lang w:val="en-US" w:eastAsia="zh-CN"/>
        </w:rPr>
        <w:t>】《技术规定》第二部分建筑篇第3.3.2条（七） 除联排式住宅外的其他建筑物，其仅设置楼梯间、水箱间、电梯机房、风机房和人防报警间、无围护结构的装饰性亭、出屋面的独立烟道和管道井等辅助性房间和构件，没有布置其它功能房间，且上述辅助性房间和构件的建筑面积之和不超过本层屋面水平投影面积的1/8的建筑物屋面；</w:t>
      </w:r>
    </w:p>
    <w:p w14:paraId="343CDDCE">
      <w:pPr>
        <w:numPr>
          <w:ilvl w:val="0"/>
          <w:numId w:val="2"/>
        </w:numPr>
        <w:adjustRightInd w:val="0"/>
        <w:snapToGrid w:val="0"/>
        <w:spacing w:line="630" w:lineRule="exact"/>
        <w:ind w:firstLine="640" w:firstLineChars="200"/>
        <w:rPr>
          <w:color w:val="auto"/>
          <w:szCs w:val="32"/>
          <w:highlight w:val="none"/>
          <w:u w:val="none"/>
        </w:rPr>
      </w:pPr>
      <w:r>
        <w:rPr>
          <w:rFonts w:hint="eastAsia"/>
          <w:color w:val="auto"/>
          <w:szCs w:val="32"/>
          <w:highlight w:val="none"/>
          <w:u w:val="none"/>
        </w:rPr>
        <w:t>开敞式</w:t>
      </w:r>
      <w:r>
        <w:rPr>
          <w:color w:val="auto"/>
          <w:szCs w:val="32"/>
          <w:highlight w:val="none"/>
          <w:u w:val="none"/>
        </w:rPr>
        <w:t>门楼（门卫室除外）；</w:t>
      </w:r>
    </w:p>
    <w:p w14:paraId="65955355">
      <w:pPr>
        <w:numPr>
          <w:ilvl w:val="0"/>
          <w:numId w:val="2"/>
        </w:numPr>
        <w:adjustRightInd w:val="0"/>
        <w:snapToGrid w:val="0"/>
        <w:spacing w:line="630" w:lineRule="exact"/>
        <w:ind w:firstLine="640" w:firstLineChars="200"/>
        <w:rPr>
          <w:rFonts w:hint="eastAsia"/>
          <w:color w:val="auto"/>
          <w:szCs w:val="32"/>
          <w:highlight w:val="none"/>
          <w:u w:val="none"/>
          <w:lang w:eastAsia="zh-CN"/>
        </w:rPr>
      </w:pPr>
      <w:r>
        <w:rPr>
          <w:rFonts w:hint="eastAsia"/>
          <w:color w:val="auto"/>
          <w:szCs w:val="32"/>
          <w:highlight w:val="none"/>
          <w:u w:val="none"/>
        </w:rPr>
        <w:t>在项目用地范围内配建且建成后移交电力部门的地上公用变配电房</w:t>
      </w:r>
      <w:r>
        <w:rPr>
          <w:rFonts w:hint="eastAsia"/>
          <w:color w:val="auto"/>
          <w:szCs w:val="32"/>
          <w:highlight w:val="none"/>
          <w:u w:val="none"/>
          <w:lang w:eastAsia="zh-CN"/>
        </w:rPr>
        <w:t>。</w:t>
      </w:r>
    </w:p>
    <w:p w14:paraId="047CFF00">
      <w:pPr>
        <w:numPr>
          <w:ilvl w:val="0"/>
          <w:numId w:val="1"/>
        </w:numPr>
        <w:adjustRightInd w:val="0"/>
        <w:snapToGrid w:val="0"/>
        <w:spacing w:line="630" w:lineRule="exact"/>
        <w:ind w:leftChars="0" w:firstLine="640" w:firstLineChars="200"/>
        <w:rPr>
          <w:rFonts w:hint="default" w:ascii="Times New Roman" w:hAnsi="Times New Roman" w:eastAsia="楷体" w:cs="楷体"/>
          <w:color w:val="auto"/>
          <w:sz w:val="28"/>
          <w:szCs w:val="28"/>
          <w:highlight w:val="none"/>
          <w:u w:val="none"/>
          <w:lang w:val="en-US" w:eastAsia="zh-CN"/>
        </w:rPr>
      </w:pPr>
      <w:r>
        <w:rPr>
          <w:rFonts w:hint="eastAsia" w:ascii="Times New Roman" w:hAnsi="Times New Roman" w:cs="Times New Roman"/>
          <w:bCs w:val="0"/>
          <w:color w:val="auto"/>
          <w:szCs w:val="32"/>
          <w:highlight w:val="none"/>
          <w:u w:val="none"/>
        </w:rPr>
        <w:t>仓储用地上的工业、仓储建筑</w:t>
      </w:r>
      <w:r>
        <w:rPr>
          <w:rFonts w:hint="eastAsia" w:ascii="Times New Roman" w:hAnsi="Times New Roman" w:cs="Times New Roman"/>
          <w:color w:val="auto"/>
          <w:szCs w:val="32"/>
          <w:highlight w:val="none"/>
          <w:u w:val="none"/>
        </w:rPr>
        <w:t>因特殊工艺或设备安装需求，结构层高超出其基准层高限值的，在提供生产工艺及生产设备的详细合理说明的前提下，允许按实际设计层数计算计容建筑面积。</w:t>
      </w:r>
      <w:r>
        <w:rPr>
          <w:rFonts w:hint="eastAsia" w:ascii="Times New Roman" w:hAnsi="Times New Roman" w:cs="Times New Roman"/>
          <w:bCs w:val="0"/>
          <w:color w:val="auto"/>
          <w:szCs w:val="32"/>
          <w:highlight w:val="none"/>
          <w:u w:val="none"/>
        </w:rPr>
        <w:t>工业用地上的工业、仓储建筑</w:t>
      </w:r>
      <w:r>
        <w:rPr>
          <w:rFonts w:hint="eastAsia" w:ascii="Times New Roman" w:hAnsi="Times New Roman" w:cs="Times New Roman"/>
          <w:color w:val="auto"/>
          <w:szCs w:val="32"/>
          <w:highlight w:val="none"/>
          <w:u w:val="none"/>
        </w:rPr>
        <w:t>因特殊工艺或设备安装需求，结构层高超出</w:t>
      </w:r>
      <w:r>
        <w:rPr>
          <w:rFonts w:hint="eastAsia" w:ascii="Times New Roman" w:hAnsi="Times New Roman" w:cs="仿宋_GB2312"/>
          <w:color w:val="auto"/>
          <w:szCs w:val="32"/>
          <w:highlight w:val="none"/>
          <w:u w:val="none"/>
        </w:rPr>
        <w:t>其基准层高限值的，须提供生产工艺及生产设备的详细合理说明，</w:t>
      </w:r>
      <w:r>
        <w:rPr>
          <w:rFonts w:hint="eastAsia" w:ascii="Times New Roman" w:hAnsi="Times New Roman" w:cs="仿宋_GB2312"/>
          <w:bCs/>
          <w:color w:val="auto"/>
          <w:szCs w:val="32"/>
          <w:highlight w:val="none"/>
          <w:u w:val="none"/>
        </w:rPr>
        <w:t>并征得相关市级行业主管部门或属地政府同意的前提下，</w:t>
      </w:r>
      <w:r>
        <w:rPr>
          <w:rFonts w:hint="eastAsia" w:ascii="Times New Roman" w:hAnsi="Times New Roman" w:cs="仿宋_GB2312"/>
          <w:color w:val="auto"/>
          <w:szCs w:val="32"/>
          <w:highlight w:val="none"/>
          <w:u w:val="none"/>
        </w:rPr>
        <w:t>允许按实际设计层数计算计容建筑面积。（</w:t>
      </w:r>
      <w:r>
        <w:rPr>
          <w:rFonts w:hint="eastAsia"/>
          <w:color w:val="auto"/>
          <w:szCs w:val="32"/>
          <w:highlight w:val="none"/>
          <w:u w:val="none"/>
        </w:rPr>
        <w:t>注：市级项目须由市级行业主管部门出具书面同意意见；主管部门不明确的</w:t>
      </w:r>
      <w:r>
        <w:rPr>
          <w:rFonts w:hint="eastAsia"/>
          <w:color w:val="auto"/>
          <w:szCs w:val="32"/>
          <w:highlight w:val="none"/>
          <w:u w:val="none"/>
          <w:lang w:val="en-US" w:eastAsia="zh-CN"/>
        </w:rPr>
        <w:t>或</w:t>
      </w:r>
      <w:r>
        <w:rPr>
          <w:rFonts w:hint="eastAsia"/>
          <w:color w:val="auto"/>
          <w:szCs w:val="32"/>
          <w:highlight w:val="none"/>
          <w:u w:val="none"/>
        </w:rPr>
        <w:t>镇级项目，由属地政府出具书面同意意见；相关市行业主管部门及属地政府应依职责履行批后监管责任。）</w:t>
      </w:r>
    </w:p>
    <w:p w14:paraId="2BF6F1AA">
      <w:pPr>
        <w:pStyle w:val="2"/>
        <w:numPr>
          <w:ilvl w:val="-1"/>
          <w:numId w:val="0"/>
        </w:numPr>
        <w:adjustRightInd w:val="0"/>
        <w:snapToGrid w:val="0"/>
        <w:spacing w:line="630" w:lineRule="exact"/>
        <w:ind w:leftChars="0" w:firstLine="560" w:firstLineChars="200"/>
        <w:rPr>
          <w:color w:val="auto"/>
          <w:highlight w:val="none"/>
          <w:u w:val="none"/>
        </w:rPr>
      </w:pPr>
      <w:r>
        <w:rPr>
          <w:rFonts w:hint="eastAsia" w:ascii="Times New Roman" w:hAnsi="Times New Roman" w:eastAsia="楷体" w:cs="楷体"/>
          <w:color w:val="auto"/>
          <w:sz w:val="28"/>
          <w:szCs w:val="28"/>
          <w:highlight w:val="none"/>
          <w:u w:val="none"/>
          <w:lang w:val="en-US" w:eastAsia="zh-CN"/>
        </w:rPr>
        <w:t>【</w:t>
      </w:r>
      <w:r>
        <w:rPr>
          <w:rFonts w:hint="eastAsia" w:ascii="Times New Roman" w:hAnsi="Times New Roman" w:eastAsia="楷体" w:cs="楷体"/>
          <w:b/>
          <w:bCs/>
          <w:color w:val="auto"/>
          <w:sz w:val="28"/>
          <w:szCs w:val="28"/>
          <w:highlight w:val="none"/>
          <w:u w:val="none"/>
          <w:lang w:val="en-US" w:eastAsia="zh-CN"/>
        </w:rPr>
        <w:t>原技术审查标准</w:t>
      </w:r>
      <w:r>
        <w:rPr>
          <w:rFonts w:hint="eastAsia" w:ascii="Times New Roman" w:hAnsi="Times New Roman" w:eastAsia="楷体" w:cs="楷体"/>
          <w:color w:val="auto"/>
          <w:sz w:val="28"/>
          <w:szCs w:val="28"/>
          <w:highlight w:val="none"/>
          <w:u w:val="none"/>
          <w:lang w:val="en-US" w:eastAsia="zh-CN"/>
        </w:rPr>
        <w:t>】《技术规定》第二部分建筑篇第3.3.11条 工业、仓储建筑因特殊工艺或设备安装需求，结构层高超出其基准层高限值的，在提供生产工艺及生产设备的详细合理说明的前提下，允许按实际设计层数计算计容建筑面积。</w:t>
      </w:r>
    </w:p>
    <w:p w14:paraId="2D7126DE">
      <w:pPr>
        <w:numPr>
          <w:ilvl w:val="0"/>
          <w:numId w:val="1"/>
        </w:numPr>
        <w:adjustRightInd w:val="0"/>
        <w:snapToGrid w:val="0"/>
        <w:spacing w:line="630" w:lineRule="exact"/>
        <w:ind w:firstLine="640" w:firstLineChars="200"/>
        <w:rPr>
          <w:rFonts w:hint="eastAsia"/>
          <w:color w:val="auto"/>
          <w:szCs w:val="32"/>
          <w:highlight w:val="none"/>
          <w:u w:val="none"/>
        </w:rPr>
      </w:pPr>
      <w:r>
        <w:rPr>
          <w:rFonts w:hint="eastAsia"/>
          <w:color w:val="auto"/>
          <w:szCs w:val="32"/>
          <w:highlight w:val="none"/>
          <w:u w:val="none"/>
        </w:rPr>
        <w:t>封闭阳台均按其结构外围水平投影全面积计算计容建筑面积。在计算非封闭阳台的计容建筑面积时，其周边突出或独立于建筑物主体外的不起结构承重作用的墙或柱，不认定为建筑物的主体结构。非主体结构的墙或柱应仅设置在建筑物二层及以上，不能直接落地。独立突出于外墙、开间宽度大于0.6米的结构柱，应按其水平投影区域计算入主体结构内。在满足其开敞率的前提下，具体计算方式详见下图：</w:t>
      </w:r>
    </w:p>
    <w:p w14:paraId="704D98CC">
      <w:pPr>
        <w:pStyle w:val="2"/>
        <w:numPr>
          <w:ilvl w:val="-1"/>
          <w:numId w:val="0"/>
        </w:numPr>
        <w:adjustRightInd/>
        <w:snapToGrid/>
        <w:spacing w:line="240" w:lineRule="auto"/>
        <w:ind w:leftChars="0" w:firstLine="0" w:firstLineChars="0"/>
        <w:rPr>
          <w:rFonts w:hint="eastAsia" w:ascii="Times New Roman" w:hAnsi="Times New Roman" w:eastAsia="楷体" w:cs="楷体"/>
          <w:color w:val="auto"/>
          <w:sz w:val="28"/>
          <w:szCs w:val="28"/>
          <w:highlight w:val="none"/>
          <w:u w:val="none"/>
          <w:lang w:val="en-US" w:eastAsia="zh-CN"/>
        </w:rPr>
      </w:pPr>
      <w:r>
        <w:rPr>
          <w:rFonts w:hint="eastAsia" w:ascii="Times New Roman" w:hAnsi="Times New Roman" w:eastAsia="宋体"/>
          <w:color w:val="auto"/>
          <w:highlight w:val="none"/>
          <w:u w:val="none"/>
        </w:rPr>
        <w:drawing>
          <wp:inline distT="0" distB="0" distL="114300" distR="114300">
            <wp:extent cx="5099685" cy="6841490"/>
            <wp:effectExtent l="0" t="0" r="5715" b="1270"/>
            <wp:docPr id="5" name="图片 5" descr="阳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阳台"/>
                    <pic:cNvPicPr>
                      <a:picLocks noChangeAspect="1"/>
                    </pic:cNvPicPr>
                  </pic:nvPicPr>
                  <pic:blipFill>
                    <a:blip r:embed="rId5"/>
                    <a:srcRect l="6004" t="9163" r="4340" b="6328"/>
                    <a:stretch>
                      <a:fillRect/>
                    </a:stretch>
                  </pic:blipFill>
                  <pic:spPr>
                    <a:xfrm>
                      <a:off x="0" y="0"/>
                      <a:ext cx="5099685" cy="6841490"/>
                    </a:xfrm>
                    <a:prstGeom prst="rect">
                      <a:avLst/>
                    </a:prstGeom>
                    <a:noFill/>
                    <a:ln>
                      <a:noFill/>
                    </a:ln>
                  </pic:spPr>
                </pic:pic>
              </a:graphicData>
            </a:graphic>
          </wp:inline>
        </w:drawing>
      </w:r>
    </w:p>
    <w:p w14:paraId="38DD9E97">
      <w:pPr>
        <w:pStyle w:val="2"/>
        <w:numPr>
          <w:ilvl w:val="0"/>
          <w:numId w:val="0"/>
        </w:numPr>
        <w:ind w:firstLine="560" w:firstLineChars="200"/>
        <w:rPr>
          <w:rFonts w:hint="default"/>
          <w:color w:val="auto"/>
          <w:highlight w:val="none"/>
          <w:u w:val="none"/>
          <w:lang w:val="en-US" w:eastAsia="zh-CN"/>
        </w:rPr>
      </w:pPr>
      <w:r>
        <w:rPr>
          <w:rFonts w:hint="eastAsia" w:ascii="Times New Roman" w:hAnsi="Times New Roman" w:eastAsia="楷体" w:cs="楷体"/>
          <w:color w:val="auto"/>
          <w:sz w:val="28"/>
          <w:szCs w:val="28"/>
          <w:highlight w:val="none"/>
          <w:u w:val="none"/>
          <w:lang w:val="en-US" w:eastAsia="zh-CN"/>
        </w:rPr>
        <w:t>【</w:t>
      </w:r>
      <w:r>
        <w:rPr>
          <w:rFonts w:hint="eastAsia" w:ascii="Times New Roman" w:hAnsi="Times New Roman" w:eastAsia="楷体" w:cs="楷体"/>
          <w:b/>
          <w:bCs/>
          <w:color w:val="auto"/>
          <w:sz w:val="28"/>
          <w:szCs w:val="28"/>
          <w:highlight w:val="none"/>
          <w:u w:val="none"/>
          <w:lang w:val="en-US" w:eastAsia="zh-CN"/>
        </w:rPr>
        <w:t>原技术审查标准</w:t>
      </w:r>
      <w:r>
        <w:rPr>
          <w:rFonts w:hint="eastAsia" w:ascii="Times New Roman" w:hAnsi="Times New Roman" w:eastAsia="楷体" w:cs="楷体"/>
          <w:color w:val="auto"/>
          <w:sz w:val="28"/>
          <w:szCs w:val="28"/>
          <w:highlight w:val="none"/>
          <w:u w:val="none"/>
          <w:lang w:val="en-US" w:eastAsia="zh-CN"/>
        </w:rPr>
        <w:t>】《技术规定》第二部分建筑篇第3.3.13条 任何形式的封闭阳台均按其结构外围水平投影全面积计算计容建筑面积。</w:t>
      </w:r>
    </w:p>
    <w:p w14:paraId="7956E1F7">
      <w:pPr>
        <w:rPr>
          <w:color w:val="auto"/>
        </w:rPr>
      </w:pPr>
    </w:p>
    <w:sectPr>
      <w:footerReference r:id="rId3" w:type="default"/>
      <w:pgSz w:w="11906" w:h="16838"/>
      <w:pgMar w:top="2098" w:right="1474" w:bottom="1984" w:left="1588" w:header="851" w:footer="113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康简标题宋">
    <w:altName w:val="宋体"/>
    <w:panose1 w:val="02020900000000000000"/>
    <w:charset w:val="86"/>
    <w:family w:val="modern"/>
    <w:pitch w:val="default"/>
    <w:sig w:usb0="00000000" w:usb1="00000000" w:usb2="00000012"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16B6B">
    <w:pPr>
      <w:pStyle w:val="5"/>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B5BE3E">
                          <w:pPr>
                            <w:pStyle w:val="5"/>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14:paraId="36B5BE3E">
                    <w:pPr>
                      <w:pStyle w:val="5"/>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A7B972"/>
    <w:multiLevelType w:val="singleLevel"/>
    <w:tmpl w:val="D0A7B972"/>
    <w:lvl w:ilvl="0" w:tentative="0">
      <w:start w:val="1"/>
      <w:numFmt w:val="chineseCounting"/>
      <w:suff w:val="nothing"/>
      <w:lvlText w:val="%1、"/>
      <w:lvlJc w:val="left"/>
      <w:pPr>
        <w:ind w:left="0" w:firstLine="420"/>
      </w:pPr>
      <w:rPr>
        <w:rFonts w:hint="eastAsia"/>
        <w:color w:val="auto"/>
      </w:rPr>
    </w:lvl>
  </w:abstractNum>
  <w:abstractNum w:abstractNumId="1">
    <w:nsid w:val="54C1E47B"/>
    <w:multiLevelType w:val="singleLevel"/>
    <w:tmpl w:val="54C1E47B"/>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34188B"/>
    <w:rsid w:val="009728C5"/>
    <w:rsid w:val="0AFF6BE1"/>
    <w:rsid w:val="1B5F9CC0"/>
    <w:rsid w:val="1ECE721F"/>
    <w:rsid w:val="45CF2E79"/>
    <w:rsid w:val="5C462A84"/>
    <w:rsid w:val="7B3418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ind w:right="-35" w:rightChars="-12"/>
    </w:pPr>
    <w:rPr>
      <w:sz w:val="31"/>
    </w:rPr>
  </w:style>
  <w:style w:type="paragraph" w:styleId="3">
    <w:name w:val="Title"/>
    <w:basedOn w:val="1"/>
    <w:next w:val="4"/>
    <w:qFormat/>
    <w:uiPriority w:val="0"/>
    <w:pPr>
      <w:spacing w:before="240" w:after="60"/>
      <w:jc w:val="center"/>
      <w:outlineLvl w:val="0"/>
    </w:pPr>
    <w:rPr>
      <w:rFonts w:eastAsia="华康简标题宋" w:cs="Arial"/>
      <w:bCs/>
      <w:sz w:val="44"/>
      <w:szCs w:val="32"/>
    </w:rPr>
  </w:style>
  <w:style w:type="paragraph" w:styleId="4">
    <w:name w:val="Body Text Indent"/>
    <w:basedOn w:val="1"/>
    <w:next w:val="1"/>
    <w:qFormat/>
    <w:uiPriority w:val="0"/>
    <w:pPr>
      <w:topLinePunct/>
      <w:autoSpaceDE w:val="0"/>
      <w:autoSpaceDN w:val="0"/>
      <w:spacing w:line="540" w:lineRule="atLeast"/>
      <w:ind w:firstLine="600"/>
    </w:pPr>
    <w:rPr>
      <w:rFonts w:ascii="华康简标题宋"/>
      <w:sz w:val="30"/>
    </w:rPr>
  </w:style>
  <w:style w:type="paragraph" w:styleId="5">
    <w:name w:val="footer"/>
    <w:basedOn w:val="1"/>
    <w:qFormat/>
    <w:uiPriority w:val="99"/>
    <w:pPr>
      <w:tabs>
        <w:tab w:val="center" w:leader="hyphen" w:pos="4153"/>
        <w:tab w:val="right" w:pos="8306"/>
      </w:tabs>
      <w:snapToGrid w:val="0"/>
      <w:jc w:val="right"/>
    </w:pPr>
    <w:rPr>
      <w:sz w:val="2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28</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2026-08-17T18:18:00Z</dcterms:created>
  <dc:creator>茵</dc:creator>
  <cp:lastModifiedBy>Administrator</cp:lastModifiedBy>
  <dcterms:modified xsi:type="dcterms:W3CDTF">2026-09-01T08:35:44Z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BE4CC6E24FC242EBB647ED0B546FF9DC</vt:lpwstr>
  </property>
</Properties>
</file>