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下浮率报价单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东莞自然资源局: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我公司已全部知晓车辆维修清单文件及相关附件。我公司经综合测算，愿意以市自然资源局提供的车辆维修清单为基准，原厂件单价整体下浮    %的金额，品牌件单价整体下浮    %的金额承包2027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年市自然资源局及下属单位公车维修项目。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单位盖章：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5904"/>
    <w:rsid w:val="1FBB48A8"/>
    <w:rsid w:val="2753228F"/>
    <w:rsid w:val="2BD44D21"/>
    <w:rsid w:val="4EA971C1"/>
    <w:rsid w:val="54FFA6B1"/>
    <w:rsid w:val="56E11091"/>
    <w:rsid w:val="6F6572A7"/>
    <w:rsid w:val="73FFFD37"/>
    <w:rsid w:val="753405D9"/>
    <w:rsid w:val="75AA6876"/>
    <w:rsid w:val="87556962"/>
    <w:rsid w:val="DFF7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2024-12-04T03:43:00Z</dcterms:created>
  <dc:creator>Administrator</dc:creator>
  <cp:lastModifiedBy>陈湛军</cp:lastModifiedBy>
  <cp:lastPrinted>2025-04-10T07:59:00Z</cp:lastPrinted>
  <dcterms:modified xsi:type="dcterms:W3CDTF">2026-06-05T15:04:00Z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E545942379053A95CF28F667A68965D8</vt:lpwstr>
  </property>
</Properties>
</file>