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东莞市建设用地规划条件管理暂行规定</w:t>
      </w:r>
    </w:p>
    <w:p>
      <w:pPr>
        <w:spacing w:line="600" w:lineRule="exact"/>
        <w:jc w:val="center"/>
        <w:rPr>
          <w:rFonts w:eastAsia="楷体_GB2312"/>
          <w:szCs w:val="32"/>
        </w:rPr>
      </w:pPr>
      <w:r>
        <w:rPr>
          <w:rFonts w:eastAsia="楷体_GB2312"/>
          <w:szCs w:val="32"/>
        </w:rPr>
        <w:t>（送审稿）</w:t>
      </w:r>
    </w:p>
    <w:p>
      <w:pPr>
        <w:spacing w:line="600" w:lineRule="exact"/>
        <w:jc w:val="center"/>
        <w:rPr>
          <w:rFonts w:eastAsia="黑体"/>
          <w:color w:val="000000"/>
          <w:kern w:val="0"/>
          <w:szCs w:val="32"/>
        </w:rPr>
      </w:pPr>
    </w:p>
    <w:p>
      <w:pPr>
        <w:spacing w:line="600" w:lineRule="exact"/>
        <w:jc w:val="center"/>
        <w:rPr>
          <w:rFonts w:eastAsia="黑体"/>
          <w:szCs w:val="32"/>
        </w:rPr>
      </w:pPr>
      <w:r>
        <w:rPr>
          <w:rFonts w:eastAsia="黑体"/>
          <w:color w:val="000000"/>
          <w:kern w:val="0"/>
          <w:szCs w:val="32"/>
        </w:rPr>
        <w:t xml:space="preserve">第一章 </w:t>
      </w:r>
      <w:r>
        <w:rPr>
          <w:rFonts w:eastAsia="黑体"/>
          <w:szCs w:val="32"/>
        </w:rPr>
        <w:t>总则</w:t>
      </w:r>
    </w:p>
    <w:p>
      <w:pPr>
        <w:spacing w:line="600" w:lineRule="exact"/>
        <w:rPr>
          <w:rFonts w:eastAsia="方正小标宋简体"/>
          <w:sz w:val="44"/>
          <w:szCs w:val="44"/>
        </w:rPr>
      </w:pPr>
    </w:p>
    <w:p>
      <w:pPr>
        <w:spacing w:line="600" w:lineRule="exact"/>
        <w:ind w:firstLine="632" w:firstLineChars="200"/>
        <w:rPr>
          <w:szCs w:val="32"/>
        </w:rPr>
      </w:pPr>
      <w:r>
        <w:rPr>
          <w:rFonts w:eastAsia="黑体"/>
        </w:rPr>
        <w:t>第一条【制定依据】</w:t>
      </w:r>
      <w:r>
        <w:rPr>
          <w:szCs w:val="32"/>
        </w:rPr>
        <w:t>为规范建设用地规划条件管理，衔接土地使用条件管理要求，保障国土空间规划实施，落实规划用地 “多审合一”改革，提升服务水平，根据《中华人民共和国土地管理法》《中华人民共和国城乡规划法》《城镇国有土地使用权出让和转让暂行条例》《广东省城乡规划条例》《协议出让国有土地使用权规定》《协议出让国有土地使用权规范》《关于以“多规合一”为基础推进规划用地“多审合一、多证合一”改革的通知》和有关法律、行政法规，结合本市实际，制定本规定。</w:t>
      </w:r>
    </w:p>
    <w:p>
      <w:pPr>
        <w:spacing w:line="600" w:lineRule="exact"/>
        <w:ind w:firstLine="632" w:firstLineChars="200"/>
        <w:rPr>
          <w:szCs w:val="32"/>
        </w:rPr>
      </w:pPr>
      <w:r>
        <w:rPr>
          <w:rFonts w:eastAsia="黑体"/>
        </w:rPr>
        <w:t>第二条【适用范围】</w:t>
      </w:r>
      <w:r>
        <w:t>本规定适用于本市行政区域内国有建设用地（不含线性城市基础设施工程</w:t>
      </w:r>
      <w:r>
        <w:rPr>
          <w:rFonts w:hint="eastAsia"/>
        </w:rPr>
        <w:t>、</w:t>
      </w:r>
      <w:r>
        <w:t>已建房屋补办项目）规划条件的提出、实施、调整以及核实等方面的管理。</w:t>
      </w:r>
    </w:p>
    <w:p>
      <w:pPr>
        <w:spacing w:line="600" w:lineRule="exact"/>
        <w:ind w:firstLine="632" w:firstLineChars="200"/>
        <w:rPr>
          <w:szCs w:val="32"/>
        </w:rPr>
      </w:pPr>
      <w:r>
        <w:t>本规定所称规划条件，是</w:t>
      </w:r>
      <w:r>
        <w:rPr>
          <w:szCs w:val="32"/>
        </w:rPr>
        <w:t>指自然资源主管部门对拟开发地块提出的规划建设要求。</w:t>
      </w:r>
    </w:p>
    <w:p>
      <w:pPr>
        <w:spacing w:line="600" w:lineRule="exact"/>
        <w:ind w:firstLine="632" w:firstLineChars="200"/>
        <w:rPr>
          <w:rFonts w:eastAsia="黑体"/>
        </w:rPr>
      </w:pPr>
      <w:r>
        <w:rPr>
          <w:rFonts w:eastAsia="黑体"/>
        </w:rPr>
        <w:t>第</w:t>
      </w:r>
      <w:r>
        <w:rPr>
          <w:rFonts w:hint="eastAsia" w:eastAsia="黑体"/>
        </w:rPr>
        <w:t>三</w:t>
      </w:r>
      <w:r>
        <w:rPr>
          <w:rFonts w:eastAsia="黑体"/>
        </w:rPr>
        <w:t>条【基本原则】</w:t>
      </w:r>
      <w:r>
        <w:t>规划条件的管理应当遵守以下基本原则：</w:t>
      </w:r>
    </w:p>
    <w:p>
      <w:pPr>
        <w:spacing w:line="600" w:lineRule="exact"/>
        <w:ind w:firstLine="632" w:firstLineChars="200"/>
        <w:rPr>
          <w:szCs w:val="32"/>
        </w:rPr>
      </w:pPr>
      <w:r>
        <w:rPr>
          <w:rFonts w:eastAsia="楷体_GB2312"/>
          <w:b/>
        </w:rPr>
        <w:t>（一）依法实施、合理利用。</w:t>
      </w:r>
      <w:r>
        <w:t>规划条件管理应当坚持严格按照法定规划实施，</w:t>
      </w:r>
      <w:r>
        <w:rPr>
          <w:kern w:val="0"/>
          <w:szCs w:val="32"/>
        </w:rPr>
        <w:t>严格落实依法行政；坚持合理利用和集约用地，保护城乡生态环境，提升城乡环境品质</w:t>
      </w:r>
      <w:r>
        <w:t>。</w:t>
      </w:r>
    </w:p>
    <w:p>
      <w:pPr>
        <w:spacing w:line="600" w:lineRule="exact"/>
        <w:ind w:firstLine="632" w:firstLineChars="200"/>
        <w:rPr>
          <w:szCs w:val="32"/>
        </w:rPr>
      </w:pPr>
      <w:r>
        <w:rPr>
          <w:rFonts w:eastAsia="楷体_GB2312"/>
          <w:b/>
          <w:szCs w:val="32"/>
        </w:rPr>
        <w:t>（二）</w:t>
      </w:r>
      <w:r>
        <w:rPr>
          <w:rFonts w:eastAsia="楷体_GB2312"/>
          <w:b/>
        </w:rPr>
        <w:t>松紧有度、</w:t>
      </w:r>
      <w:r>
        <w:rPr>
          <w:rFonts w:eastAsia="楷体_GB2312"/>
          <w:b/>
          <w:szCs w:val="32"/>
        </w:rPr>
        <w:t>全面管控</w:t>
      </w:r>
      <w:r>
        <w:rPr>
          <w:rFonts w:eastAsia="楷体_GB2312"/>
          <w:b/>
        </w:rPr>
        <w:t>。</w:t>
      </w:r>
      <w:r>
        <w:t>规划条件管理应当按照开发地块使用性质，重点结合技术要求和土地价值因素，实行精细化分类管理。</w:t>
      </w:r>
      <w:r>
        <w:rPr>
          <w:szCs w:val="32"/>
        </w:rPr>
        <w:t>经营性项目、</w:t>
      </w:r>
      <w:r>
        <w:t>强制性内容</w:t>
      </w:r>
      <w:r>
        <w:rPr>
          <w:rFonts w:hint="eastAsia"/>
        </w:rPr>
        <w:t>，</w:t>
      </w:r>
      <w:r>
        <w:rPr>
          <w:szCs w:val="32"/>
        </w:rPr>
        <w:t>从严从紧管理；产业和公益项目、</w:t>
      </w:r>
      <w:r>
        <w:t>指导性内容，</w:t>
      </w:r>
      <w:r>
        <w:rPr>
          <w:szCs w:val="32"/>
        </w:rPr>
        <w:t>从宽从速办理。涉及土地出让金差额的，应当依法评估、足额征缴。</w:t>
      </w:r>
    </w:p>
    <w:p>
      <w:pPr>
        <w:spacing w:line="600" w:lineRule="exact"/>
        <w:ind w:firstLine="632" w:firstLineChars="200"/>
        <w:rPr>
          <w:szCs w:val="32"/>
          <w:u w:val="single"/>
        </w:rPr>
      </w:pPr>
      <w:r>
        <w:rPr>
          <w:rFonts w:eastAsia="楷体_GB2312"/>
          <w:b/>
          <w:szCs w:val="32"/>
        </w:rPr>
        <w:t>（三）程序优化</w:t>
      </w:r>
      <w:r>
        <w:rPr>
          <w:rFonts w:hint="eastAsia" w:eastAsia="楷体_GB2312"/>
          <w:b/>
          <w:szCs w:val="32"/>
        </w:rPr>
        <w:t>、</w:t>
      </w:r>
      <w:r>
        <w:rPr>
          <w:rFonts w:eastAsia="楷体_GB2312"/>
          <w:b/>
          <w:szCs w:val="32"/>
        </w:rPr>
        <w:t>多审合一。</w:t>
      </w:r>
      <w:r>
        <w:t>规划条件管理应当落实</w:t>
      </w:r>
      <w:r>
        <w:rPr>
          <w:szCs w:val="32"/>
        </w:rPr>
        <w:t>“多审合一”改革</w:t>
      </w:r>
      <w:r>
        <w:t>，进一步简化办理程序，提高审批效率。</w:t>
      </w:r>
      <w:r>
        <w:rPr>
          <w:szCs w:val="32"/>
        </w:rPr>
        <w:t>调整规划条件与变更土地使用条件实行同时申请、同步办理、合并出证。</w:t>
      </w:r>
    </w:p>
    <w:p>
      <w:pPr>
        <w:spacing w:line="600" w:lineRule="exact"/>
        <w:ind w:firstLine="632" w:firstLineChars="200"/>
        <w:rPr>
          <w:szCs w:val="32"/>
          <w:u w:val="single"/>
        </w:rPr>
      </w:pPr>
      <w:r>
        <w:rPr>
          <w:rFonts w:eastAsia="黑体"/>
        </w:rPr>
        <w:t>第</w:t>
      </w:r>
      <w:r>
        <w:rPr>
          <w:rFonts w:hint="eastAsia" w:eastAsia="黑体"/>
        </w:rPr>
        <w:t>四</w:t>
      </w:r>
      <w:r>
        <w:rPr>
          <w:rFonts w:eastAsia="黑体"/>
        </w:rPr>
        <w:t>条【办理依据】</w:t>
      </w:r>
      <w:r>
        <w:rPr>
          <w:szCs w:val="32"/>
        </w:rPr>
        <w:t>规划条件的管理，应当以依法批准的详细规划为依据。其中，国家、省或者市重点建设需要使用土地且没有编制详细规划的地块，应当以依法批准的选址评估为依据。</w:t>
      </w:r>
    </w:p>
    <w:p>
      <w:pPr>
        <w:spacing w:line="600" w:lineRule="exact"/>
        <w:ind w:firstLine="632" w:firstLineChars="200"/>
        <w:jc w:val="center"/>
        <w:rPr>
          <w:rFonts w:eastAsia="黑体"/>
          <w:szCs w:val="32"/>
        </w:rPr>
      </w:pPr>
    </w:p>
    <w:p>
      <w:pPr>
        <w:spacing w:line="600" w:lineRule="exact"/>
        <w:ind w:firstLine="632" w:firstLineChars="200"/>
        <w:jc w:val="center"/>
        <w:rPr>
          <w:rFonts w:eastAsia="黑体"/>
          <w:szCs w:val="32"/>
        </w:rPr>
      </w:pPr>
      <w:r>
        <w:rPr>
          <w:rFonts w:eastAsia="黑体"/>
          <w:szCs w:val="32"/>
        </w:rPr>
        <w:t>第二章 规划条件的提出和实施</w:t>
      </w:r>
    </w:p>
    <w:p>
      <w:pPr>
        <w:spacing w:line="600" w:lineRule="exact"/>
        <w:rPr>
          <w:rFonts w:eastAsia="黑体"/>
        </w:rPr>
      </w:pPr>
    </w:p>
    <w:p>
      <w:pPr>
        <w:spacing w:line="600" w:lineRule="exact"/>
        <w:ind w:firstLine="632" w:firstLineChars="200"/>
        <w:rPr>
          <w:szCs w:val="32"/>
          <w:shd w:val="clear" w:color="auto" w:fill="FFFFFF"/>
        </w:rPr>
      </w:pPr>
      <w:r>
        <w:rPr>
          <w:rFonts w:eastAsia="黑体"/>
        </w:rPr>
        <w:t>第五条【</w:t>
      </w:r>
      <w:r>
        <w:rPr>
          <w:rFonts w:eastAsia="黑体"/>
          <w:szCs w:val="32"/>
        </w:rPr>
        <w:t>提出</w:t>
      </w:r>
      <w:r>
        <w:rPr>
          <w:rFonts w:eastAsia="黑体"/>
        </w:rPr>
        <w:t>】</w:t>
      </w:r>
      <w:r>
        <w:rPr>
          <w:szCs w:val="32"/>
          <w:shd w:val="clear" w:color="auto" w:fill="FFFFFF"/>
        </w:rPr>
        <w:t>国有</w:t>
      </w:r>
      <w:r>
        <w:rPr>
          <w:rFonts w:hint="eastAsia"/>
          <w:szCs w:val="32"/>
          <w:shd w:val="clear" w:color="auto" w:fill="FFFFFF"/>
        </w:rPr>
        <w:t>建设</w:t>
      </w:r>
      <w:r>
        <w:rPr>
          <w:szCs w:val="32"/>
          <w:shd w:val="clear" w:color="auto" w:fill="FFFFFF"/>
        </w:rPr>
        <w:t>用地使用权</w:t>
      </w:r>
      <w:r>
        <w:rPr>
          <w:rFonts w:hint="eastAsia"/>
          <w:szCs w:val="32"/>
          <w:shd w:val="clear" w:color="auto" w:fill="FFFFFF"/>
        </w:rPr>
        <w:t>供应</w:t>
      </w:r>
      <w:r>
        <w:rPr>
          <w:szCs w:val="32"/>
          <w:shd w:val="clear" w:color="auto" w:fill="FFFFFF"/>
        </w:rPr>
        <w:t>前，</w:t>
      </w:r>
      <w:r>
        <w:rPr>
          <w:szCs w:val="32"/>
        </w:rPr>
        <w:t>自然资源主管部门</w:t>
      </w:r>
      <w:r>
        <w:rPr>
          <w:szCs w:val="32"/>
          <w:shd w:val="clear" w:color="auto" w:fill="FFFFFF"/>
        </w:rPr>
        <w:t>依据详细规划（或选址评估），结合政策文件、技术规范以及城市设计（含地块包装）和相关专项研究的要求，</w:t>
      </w:r>
      <w:r>
        <w:rPr>
          <w:szCs w:val="32"/>
        </w:rPr>
        <w:t>依申请</w:t>
      </w:r>
      <w:r>
        <w:rPr>
          <w:szCs w:val="32"/>
          <w:shd w:val="clear" w:color="auto" w:fill="FFFFFF"/>
        </w:rPr>
        <w:t>提出拟出让地块的规划条件，核发</w:t>
      </w:r>
      <w:r>
        <w:rPr>
          <w:szCs w:val="32"/>
        </w:rPr>
        <w:t>《建设用地规划条件》或者</w:t>
      </w:r>
      <w:r>
        <w:rPr>
          <w:rFonts w:hint="eastAsia"/>
          <w:szCs w:val="32"/>
        </w:rPr>
        <w:t>《</w:t>
      </w:r>
      <w:r>
        <w:rPr>
          <w:szCs w:val="32"/>
        </w:rPr>
        <w:t>建设项目用地预审与选址意见书</w:t>
      </w:r>
      <w:r>
        <w:rPr>
          <w:rFonts w:hint="eastAsia"/>
          <w:szCs w:val="32"/>
        </w:rPr>
        <w:t>》</w:t>
      </w:r>
      <w:r>
        <w:rPr>
          <w:szCs w:val="32"/>
          <w:shd w:val="clear" w:color="auto" w:fill="FFFFFF"/>
        </w:rPr>
        <w:t>。</w:t>
      </w:r>
      <w:bookmarkStart w:id="0" w:name="_GoBack"/>
      <w:bookmarkEnd w:id="0"/>
    </w:p>
    <w:p>
      <w:pPr>
        <w:spacing w:line="600" w:lineRule="exact"/>
        <w:ind w:firstLine="632" w:firstLineChars="200"/>
        <w:rPr>
          <w:rFonts w:eastAsia="仿宋"/>
          <w:strike/>
          <w:kern w:val="0"/>
          <w:szCs w:val="32"/>
        </w:rPr>
      </w:pPr>
      <w:r>
        <w:rPr>
          <w:szCs w:val="32"/>
        </w:rPr>
        <w:t>规划条件应当作为《国有建设用地使用权出让合同》《国有建设用地使用权划拨决定书》的组成部分。</w:t>
      </w:r>
    </w:p>
    <w:p>
      <w:pPr>
        <w:spacing w:line="600" w:lineRule="exact"/>
        <w:ind w:firstLine="632" w:firstLineChars="200"/>
        <w:rPr>
          <w:szCs w:val="32"/>
        </w:rPr>
      </w:pPr>
      <w:r>
        <w:rPr>
          <w:rFonts w:eastAsia="黑体"/>
        </w:rPr>
        <w:t>第六条【基本内容】</w:t>
      </w:r>
      <w:r>
        <w:rPr>
          <w:szCs w:val="32"/>
        </w:rPr>
        <w:t>规划条件的组成，一般包括规划设计要点及附图。</w:t>
      </w:r>
    </w:p>
    <w:p>
      <w:pPr>
        <w:spacing w:line="600" w:lineRule="exact"/>
        <w:ind w:firstLine="632" w:firstLineChars="200"/>
        <w:rPr>
          <w:szCs w:val="32"/>
        </w:rPr>
      </w:pPr>
      <w:r>
        <w:rPr>
          <w:szCs w:val="32"/>
        </w:rPr>
        <w:t>规划条件应当明确拟开发地块的位置、面积、使用性质（土地用途）、允许建设的范围（含用地红线、建筑红线）、容积率、绿地率、建筑高度、建筑密度、基础设施和公共服务设施配套、地下空间开发利用要求等基本内容。根据需要，还可以提出景观风貌要求内容。</w:t>
      </w:r>
    </w:p>
    <w:p>
      <w:pPr>
        <w:spacing w:line="600" w:lineRule="exact"/>
        <w:ind w:firstLine="612" w:firstLineChars="200"/>
        <w:rPr>
          <w:szCs w:val="32"/>
        </w:rPr>
      </w:pPr>
      <w:r>
        <w:rPr>
          <w:sz w:val="31"/>
          <w:szCs w:val="31"/>
        </w:rPr>
        <w:t>其他职能部门在供地前提出的需纳入规划条件的设计要求</w:t>
      </w:r>
      <w:r>
        <w:rPr>
          <w:rFonts w:hint="eastAsia"/>
          <w:sz w:val="31"/>
          <w:szCs w:val="31"/>
        </w:rPr>
        <w:t>，可列</w:t>
      </w:r>
      <w:r>
        <w:rPr>
          <w:szCs w:val="32"/>
        </w:rPr>
        <w:t>入“注意事项”中，提醒用地单位遵照执行，并由相关部门按照各自职能监督实施。</w:t>
      </w:r>
    </w:p>
    <w:p>
      <w:pPr>
        <w:spacing w:line="600" w:lineRule="exact"/>
        <w:ind w:firstLine="632" w:firstLineChars="200"/>
        <w:rPr>
          <w:szCs w:val="32"/>
        </w:rPr>
      </w:pPr>
      <w:r>
        <w:rPr>
          <w:rFonts w:eastAsia="黑体"/>
        </w:rPr>
        <w:t>第七条【分类标准</w:t>
      </w:r>
      <w:r>
        <w:rPr>
          <w:rFonts w:eastAsia="黑体"/>
          <w:szCs w:val="32"/>
        </w:rPr>
        <w:t>】</w:t>
      </w:r>
      <w:r>
        <w:rPr>
          <w:szCs w:val="32"/>
        </w:rPr>
        <w:t>规划条件按照开发地块使用性质、内容管控的严格程度，实行分类管理、</w:t>
      </w:r>
      <w:r>
        <w:t>分级管控。</w:t>
      </w:r>
    </w:p>
    <w:p>
      <w:pPr>
        <w:spacing w:line="600" w:lineRule="exact"/>
        <w:ind w:firstLine="632" w:firstLineChars="200"/>
        <w:rPr>
          <w:rFonts w:eastAsia="楷体_GB2312"/>
          <w:b/>
        </w:rPr>
      </w:pPr>
      <w:r>
        <w:rPr>
          <w:rFonts w:eastAsia="楷体_GB2312"/>
          <w:b/>
          <w:szCs w:val="32"/>
        </w:rPr>
        <w:t>（一）经营性项目</w:t>
      </w:r>
    </w:p>
    <w:p>
      <w:pPr>
        <w:spacing w:line="600" w:lineRule="exact"/>
        <w:ind w:firstLine="632" w:firstLineChars="200"/>
      </w:pPr>
      <w:r>
        <w:t>1、一级管控内容。包括</w:t>
      </w:r>
      <w:r>
        <w:rPr>
          <w:szCs w:val="32"/>
        </w:rPr>
        <w:t>使用</w:t>
      </w:r>
      <w:r>
        <w:t>性质（土地用途）、容积率、绿地率、用地红线范围及面积、基础设施和公共服务配套设施（含用地红线范围外规划要求捆绑实施的设施）的数量、尺寸、面积和实施时限要求。</w:t>
      </w:r>
    </w:p>
    <w:p>
      <w:pPr>
        <w:spacing w:line="600" w:lineRule="exact"/>
        <w:ind w:firstLine="632" w:firstLineChars="200"/>
        <w:rPr>
          <w:szCs w:val="32"/>
        </w:rPr>
      </w:pPr>
      <w:r>
        <w:t>2、二级管控内容。包括</w:t>
      </w:r>
      <w:r>
        <w:rPr>
          <w:szCs w:val="32"/>
        </w:rPr>
        <w:t>建筑密度、建筑高度、地下空间使用范围（含地下建筑红线）、地上建筑红线。</w:t>
      </w:r>
    </w:p>
    <w:p>
      <w:pPr>
        <w:spacing w:line="600" w:lineRule="exact"/>
        <w:ind w:firstLine="632" w:firstLineChars="200"/>
        <w:rPr>
          <w:szCs w:val="32"/>
        </w:rPr>
      </w:pPr>
      <w:r>
        <w:rPr>
          <w:szCs w:val="32"/>
        </w:rPr>
        <w:t>3、三级管控内容。主要包括基础设施和公共服务配套设施</w:t>
      </w:r>
      <w:r>
        <w:t>（含用地红线范围外规划要求捆绑实施的设施）</w:t>
      </w:r>
      <w:r>
        <w:rPr>
          <w:szCs w:val="32"/>
        </w:rPr>
        <w:t>的配建位置要求；基地内竖向标高；机动车出入口开设位置；景观风貌要求</w:t>
      </w:r>
      <w:r>
        <w:rPr>
          <w:rFonts w:hint="eastAsia"/>
          <w:szCs w:val="32"/>
        </w:rPr>
        <w:t>；</w:t>
      </w:r>
      <w:r>
        <w:rPr>
          <w:szCs w:val="32"/>
        </w:rPr>
        <w:t>以及不属于</w:t>
      </w:r>
      <w:r>
        <w:t>一、二级管控的</w:t>
      </w:r>
      <w:r>
        <w:rPr>
          <w:szCs w:val="32"/>
        </w:rPr>
        <w:t>其他</w:t>
      </w:r>
      <w:r>
        <w:t>内容</w:t>
      </w:r>
      <w:r>
        <w:rPr>
          <w:szCs w:val="32"/>
        </w:rPr>
        <w:t>。</w:t>
      </w:r>
    </w:p>
    <w:p>
      <w:pPr>
        <w:spacing w:line="600" w:lineRule="exact"/>
        <w:ind w:firstLine="632" w:firstLineChars="200"/>
        <w:rPr>
          <w:rFonts w:ascii="楷体_GB2312" w:eastAsia="楷体_GB2312"/>
          <w:b/>
          <w:szCs w:val="32"/>
        </w:rPr>
      </w:pPr>
      <w:r>
        <w:rPr>
          <w:rFonts w:hint="eastAsia" w:ascii="楷体_GB2312" w:eastAsia="楷体_GB2312"/>
          <w:b/>
          <w:szCs w:val="32"/>
        </w:rPr>
        <w:t>（二）产业项目</w:t>
      </w:r>
    </w:p>
    <w:p>
      <w:pPr>
        <w:spacing w:line="600" w:lineRule="exact"/>
        <w:ind w:firstLine="632" w:firstLineChars="200"/>
        <w:rPr>
          <w:szCs w:val="32"/>
        </w:rPr>
      </w:pPr>
      <w:r>
        <w:rPr>
          <w:szCs w:val="32"/>
        </w:rPr>
        <w:t>1、一级管控内容。使用性质（土地用途）。</w:t>
      </w:r>
    </w:p>
    <w:p>
      <w:pPr>
        <w:spacing w:line="600" w:lineRule="exact"/>
        <w:ind w:firstLine="632" w:firstLineChars="200"/>
        <w:rPr>
          <w:szCs w:val="32"/>
        </w:rPr>
      </w:pPr>
      <w:r>
        <w:rPr>
          <w:szCs w:val="32"/>
        </w:rPr>
        <w:t>2、二级管控内容。包括容积率、绿地率、建筑密度、建筑高度、用地红线范围及面积、地下空间使用范围（含地下建筑红线）、地上建筑红线、基础设施和公共服务配套设施</w:t>
      </w:r>
      <w:r>
        <w:t>（含用地红线范围外规划要求捆绑实施的设施）</w:t>
      </w:r>
      <w:r>
        <w:rPr>
          <w:szCs w:val="32"/>
        </w:rPr>
        <w:t>的数量、尺寸、</w:t>
      </w:r>
      <w:r>
        <w:t>面积和实施时限</w:t>
      </w:r>
      <w:r>
        <w:rPr>
          <w:szCs w:val="32"/>
        </w:rPr>
        <w:t>要求。</w:t>
      </w:r>
    </w:p>
    <w:p>
      <w:pPr>
        <w:spacing w:line="600" w:lineRule="exact"/>
        <w:ind w:firstLine="632" w:firstLineChars="200"/>
        <w:rPr>
          <w:szCs w:val="32"/>
        </w:rPr>
      </w:pPr>
      <w:r>
        <w:rPr>
          <w:szCs w:val="32"/>
        </w:rPr>
        <w:t>3、三级管控内容。参见本条第（一）3点。</w:t>
      </w:r>
    </w:p>
    <w:p>
      <w:pPr>
        <w:spacing w:line="600" w:lineRule="exact"/>
        <w:ind w:firstLine="632" w:firstLineChars="200"/>
        <w:rPr>
          <w:rFonts w:eastAsia="楷体_GB2312"/>
          <w:b/>
          <w:szCs w:val="32"/>
        </w:rPr>
      </w:pPr>
      <w:r>
        <w:rPr>
          <w:rFonts w:eastAsia="楷体_GB2312"/>
          <w:b/>
          <w:szCs w:val="32"/>
        </w:rPr>
        <w:t>（三）公益项目</w:t>
      </w:r>
    </w:p>
    <w:p>
      <w:pPr>
        <w:spacing w:line="600" w:lineRule="exact"/>
        <w:ind w:firstLine="632" w:firstLineChars="200"/>
        <w:rPr>
          <w:szCs w:val="32"/>
        </w:rPr>
      </w:pPr>
      <w:r>
        <w:rPr>
          <w:szCs w:val="32"/>
        </w:rPr>
        <w:t>1、一级管控内容。使用性质（土地用途）。</w:t>
      </w:r>
    </w:p>
    <w:p>
      <w:pPr>
        <w:spacing w:line="600" w:lineRule="exact"/>
        <w:ind w:firstLine="632" w:firstLineChars="200"/>
        <w:rPr>
          <w:szCs w:val="32"/>
        </w:rPr>
      </w:pPr>
      <w:r>
        <w:rPr>
          <w:szCs w:val="32"/>
        </w:rPr>
        <w:t>2、二级管控内容。包括容积率、绿地率、建筑密度、建筑高度、用地红线范围及面积、地下空间使用范围（含地下建筑红线）、地上建筑红线、基础设施和公共服务配套设施</w:t>
      </w:r>
      <w:r>
        <w:t>（含用地红线范围外规划要求捆绑实施的设施）</w:t>
      </w:r>
      <w:r>
        <w:rPr>
          <w:szCs w:val="32"/>
        </w:rPr>
        <w:t>的数量、尺寸</w:t>
      </w:r>
      <w:r>
        <w:t>、面积和实施时限</w:t>
      </w:r>
      <w:r>
        <w:rPr>
          <w:szCs w:val="32"/>
        </w:rPr>
        <w:t xml:space="preserve">要求。 </w:t>
      </w:r>
    </w:p>
    <w:p>
      <w:pPr>
        <w:spacing w:line="600" w:lineRule="exact"/>
        <w:ind w:firstLine="632" w:firstLineChars="200"/>
        <w:rPr>
          <w:szCs w:val="32"/>
        </w:rPr>
      </w:pPr>
      <w:r>
        <w:rPr>
          <w:szCs w:val="32"/>
        </w:rPr>
        <w:t>3、三级管控内容。参见本条第（一）3点。</w:t>
      </w:r>
    </w:p>
    <w:p>
      <w:pPr>
        <w:spacing w:line="600" w:lineRule="exact"/>
        <w:ind w:firstLine="632" w:firstLineChars="200"/>
        <w:rPr>
          <w:szCs w:val="32"/>
        </w:rPr>
      </w:pPr>
      <w:r>
        <w:rPr>
          <w:rFonts w:eastAsia="黑体"/>
          <w:szCs w:val="32"/>
        </w:rPr>
        <w:t>第八条【实施管理】</w:t>
      </w:r>
      <w:r>
        <w:t>规划条件是建设工程设计方案编制、建设工程规划许可审批和规划核实的重要依据。</w:t>
      </w:r>
      <w:r>
        <w:rPr>
          <w:szCs w:val="32"/>
        </w:rPr>
        <w:t>用地单位应当严格依据规划条件编制</w:t>
      </w:r>
      <w:r>
        <w:t>建设工程设计方案，并按照建设工程规划许可的内容</w:t>
      </w:r>
      <w:r>
        <w:rPr>
          <w:szCs w:val="32"/>
        </w:rPr>
        <w:t>进行建设，不得擅自变更。规划条件各级管控内容按照下列规定执行：</w:t>
      </w:r>
    </w:p>
    <w:p>
      <w:pPr>
        <w:spacing w:line="600" w:lineRule="exact"/>
        <w:ind w:firstLine="632" w:firstLineChars="200"/>
        <w:rPr>
          <w:rFonts w:ascii="楷体_GB2312" w:eastAsia="楷体_GB2312"/>
          <w:b/>
          <w:szCs w:val="32"/>
        </w:rPr>
      </w:pPr>
      <w:r>
        <w:rPr>
          <w:rFonts w:hint="eastAsia" w:ascii="楷体_GB2312" w:eastAsia="楷体_GB2312"/>
          <w:b/>
          <w:szCs w:val="32"/>
        </w:rPr>
        <w:t>（一）一、二级管控内容的执行</w:t>
      </w:r>
    </w:p>
    <w:p>
      <w:pPr>
        <w:spacing w:line="600" w:lineRule="exact"/>
        <w:ind w:firstLine="632" w:firstLineChars="200"/>
        <w:rPr>
          <w:szCs w:val="32"/>
        </w:rPr>
      </w:pPr>
      <w:r>
        <w:rPr>
          <w:szCs w:val="32"/>
        </w:rPr>
        <w:t>一、二级管控内容属于严格执行条款，不得在规划实施阶段突破执行。确有客观原因需要调整的，在符合法律法规的前提下，按照第三章有关规定办理。</w:t>
      </w:r>
    </w:p>
    <w:p>
      <w:pPr>
        <w:spacing w:line="600" w:lineRule="exact"/>
        <w:ind w:firstLine="632" w:firstLineChars="200"/>
        <w:rPr>
          <w:rFonts w:ascii="楷体_GB2312" w:eastAsia="楷体_GB2312"/>
          <w:b/>
        </w:rPr>
      </w:pPr>
      <w:r>
        <w:rPr>
          <w:rFonts w:hint="eastAsia" w:ascii="楷体_GB2312" w:eastAsia="楷体_GB2312"/>
          <w:b/>
        </w:rPr>
        <w:t>（二）三级管控内容的执行</w:t>
      </w:r>
    </w:p>
    <w:p>
      <w:pPr>
        <w:spacing w:line="600" w:lineRule="exact"/>
        <w:ind w:firstLine="632" w:firstLineChars="200"/>
      </w:pPr>
      <w:r>
        <w:t>三级管控内容属于指导执行条款，</w:t>
      </w:r>
      <w:r>
        <w:rPr>
          <w:rFonts w:hint="eastAsia"/>
        </w:rPr>
        <w:t>原则上</w:t>
      </w:r>
      <w:r>
        <w:t>应遵照执行。当客观条件不允许或存在更优方案时，</w:t>
      </w:r>
      <w:r>
        <w:rPr>
          <w:szCs w:val="32"/>
        </w:rPr>
        <w:t>在符合法律法规的前提下，应当</w:t>
      </w:r>
      <w:r>
        <w:t>按以下程序处理，无需调整规划条件和上位规划：</w:t>
      </w:r>
    </w:p>
    <w:p>
      <w:pPr>
        <w:spacing w:line="600" w:lineRule="exact"/>
        <w:ind w:firstLine="632" w:firstLineChars="200"/>
        <w:rPr>
          <w:szCs w:val="32"/>
        </w:rPr>
      </w:pPr>
      <w:r>
        <w:t>1、规定性指导条款的执行。</w:t>
      </w:r>
      <w:r>
        <w:rPr>
          <w:szCs w:val="32"/>
        </w:rPr>
        <w:t>属地镇街政府应当向市自然资源局提出</w:t>
      </w:r>
      <w:r>
        <w:rPr>
          <w:rFonts w:hint="eastAsia"/>
          <w:szCs w:val="32"/>
        </w:rPr>
        <w:t>申请</w:t>
      </w:r>
      <w:r>
        <w:rPr>
          <w:szCs w:val="32"/>
        </w:rPr>
        <w:t>，并充分论证具体理据</w:t>
      </w:r>
      <w:r>
        <w:rPr>
          <w:rFonts w:hint="eastAsia"/>
          <w:szCs w:val="32"/>
        </w:rPr>
        <w:t>。</w:t>
      </w:r>
      <w:r>
        <w:rPr>
          <w:szCs w:val="32"/>
        </w:rPr>
        <w:t>必要时可</w:t>
      </w:r>
      <w:r>
        <w:t>采取论证会、听证会或者其他方式征求专家和公众意见。</w:t>
      </w:r>
      <w:r>
        <w:rPr>
          <w:szCs w:val="32"/>
        </w:rPr>
        <w:t>经</w:t>
      </w:r>
      <w:r>
        <w:t>市自然资源局局务会议审议</w:t>
      </w:r>
      <w:r>
        <w:rPr>
          <w:rFonts w:hint="eastAsia"/>
        </w:rPr>
        <w:t>同意</w:t>
      </w:r>
      <w:r>
        <w:t>后，由市自然资源局</w:t>
      </w:r>
      <w:r>
        <w:rPr>
          <w:rFonts w:hint="eastAsia"/>
        </w:rPr>
        <w:t>出具</w:t>
      </w:r>
      <w:r>
        <w:t>相关条款的执行意见</w:t>
      </w:r>
      <w:r>
        <w:rPr>
          <w:rFonts w:hint="eastAsia"/>
        </w:rPr>
        <w:t>，</w:t>
      </w:r>
      <w:r>
        <w:rPr>
          <w:szCs w:val="32"/>
        </w:rPr>
        <w:t>作为审批建设工程规划许可的依据</w:t>
      </w:r>
      <w:r>
        <w:rPr>
          <w:rFonts w:hint="eastAsia"/>
          <w:szCs w:val="32"/>
        </w:rPr>
        <w:t>。</w:t>
      </w:r>
    </w:p>
    <w:p>
      <w:pPr>
        <w:spacing w:line="600" w:lineRule="exact"/>
        <w:ind w:firstLine="632" w:firstLineChars="200"/>
        <w:rPr>
          <w:szCs w:val="32"/>
          <w:highlight w:val="yellow"/>
        </w:rPr>
      </w:pPr>
      <w:r>
        <w:rPr>
          <w:szCs w:val="32"/>
        </w:rPr>
        <w:t>2、</w:t>
      </w:r>
      <w:r>
        <w:t>建议性指导条款的执行。</w:t>
      </w:r>
      <w:r>
        <w:rPr>
          <w:szCs w:val="32"/>
        </w:rPr>
        <w:t>用地单位应当</w:t>
      </w:r>
      <w:r>
        <w:t>在建设工程规划许可阶段结合实施方案</w:t>
      </w:r>
      <w:r>
        <w:rPr>
          <w:szCs w:val="32"/>
        </w:rPr>
        <w:t>向市自然资源局</w:t>
      </w:r>
      <w:r>
        <w:t>提出申请</w:t>
      </w:r>
      <w:r>
        <w:rPr>
          <w:rFonts w:hint="eastAsia"/>
        </w:rPr>
        <w:t>，</w:t>
      </w:r>
      <w:r>
        <w:rPr>
          <w:szCs w:val="32"/>
        </w:rPr>
        <w:t>并充分论证具体理据</w:t>
      </w:r>
      <w:r>
        <w:rPr>
          <w:rFonts w:hint="eastAsia"/>
          <w:szCs w:val="32"/>
        </w:rPr>
        <w:t>，</w:t>
      </w:r>
      <w:r>
        <w:t>经市自然资源局业务专题会议审议</w:t>
      </w:r>
      <w:r>
        <w:rPr>
          <w:rFonts w:hint="eastAsia"/>
        </w:rPr>
        <w:t>同意后执行。</w:t>
      </w:r>
    </w:p>
    <w:p>
      <w:pPr>
        <w:spacing w:line="600" w:lineRule="exact"/>
        <w:ind w:firstLine="632" w:firstLineChars="200"/>
        <w:rPr>
          <w:rFonts w:ascii="楷体_GB2312" w:eastAsia="楷体_GB2312"/>
          <w:b/>
        </w:rPr>
      </w:pPr>
      <w:r>
        <w:rPr>
          <w:rFonts w:hint="eastAsia" w:ascii="楷体_GB2312" w:eastAsia="楷体_GB2312"/>
          <w:b/>
        </w:rPr>
        <w:t>（三）参考性信息的执行</w:t>
      </w:r>
    </w:p>
    <w:p>
      <w:pPr>
        <w:spacing w:line="600" w:lineRule="exact"/>
        <w:ind w:firstLine="632" w:firstLineChars="200"/>
      </w:pPr>
      <w:r>
        <w:rPr>
          <w:szCs w:val="32"/>
        </w:rPr>
        <w:t>在编制建设工程设计方案时，用地红线外的规划道路、河道、绿化带等参考性信息应当以最新版的详细规划为准，其他周边地形地貌应当以现状实测地形图为准。</w:t>
      </w:r>
    </w:p>
    <w:p>
      <w:pPr>
        <w:spacing w:line="600" w:lineRule="exact"/>
        <w:rPr>
          <w:kern w:val="0"/>
          <w:szCs w:val="32"/>
        </w:rPr>
      </w:pPr>
    </w:p>
    <w:p>
      <w:pPr>
        <w:spacing w:line="600" w:lineRule="exact"/>
        <w:jc w:val="center"/>
        <w:rPr>
          <w:rFonts w:eastAsia="黑体"/>
          <w:kern w:val="0"/>
          <w:szCs w:val="32"/>
        </w:rPr>
      </w:pPr>
      <w:r>
        <w:rPr>
          <w:rFonts w:eastAsia="黑体"/>
          <w:kern w:val="0"/>
          <w:szCs w:val="32"/>
        </w:rPr>
        <w:t>第三章 规划条件的调整</w:t>
      </w:r>
    </w:p>
    <w:p>
      <w:pPr>
        <w:spacing w:line="600" w:lineRule="exact"/>
        <w:ind w:firstLine="632" w:firstLineChars="200"/>
        <w:rPr>
          <w:rFonts w:eastAsia="黑体"/>
          <w:szCs w:val="32"/>
        </w:rPr>
      </w:pPr>
    </w:p>
    <w:p>
      <w:pPr>
        <w:spacing w:line="600" w:lineRule="exact"/>
        <w:ind w:firstLine="632" w:firstLineChars="200"/>
        <w:rPr>
          <w:szCs w:val="32"/>
        </w:rPr>
      </w:pPr>
      <w:r>
        <w:rPr>
          <w:rFonts w:eastAsia="黑体"/>
          <w:szCs w:val="32"/>
        </w:rPr>
        <w:t>第九条【分类办理】</w:t>
      </w:r>
      <w:r>
        <w:rPr>
          <w:szCs w:val="32"/>
        </w:rPr>
        <w:t>已完成供地手续的开发地块，应当严格执行依法批准的规划条件，不得擅自突破或调整；确有客观原因需要调整的，按照本章规定办理。尚未办理供地手续的开发地块，需要调整的，可径行重新提出规划条件。</w:t>
      </w:r>
    </w:p>
    <w:p>
      <w:pPr>
        <w:spacing w:line="600" w:lineRule="exact"/>
        <w:ind w:firstLine="632" w:firstLineChars="200"/>
        <w:rPr>
          <w:szCs w:val="32"/>
        </w:rPr>
      </w:pPr>
      <w:r>
        <w:rPr>
          <w:szCs w:val="32"/>
        </w:rPr>
        <w:t>涉及详细规划调整的</w:t>
      </w:r>
      <w:r>
        <w:rPr>
          <w:rFonts w:hint="eastAsia"/>
          <w:szCs w:val="32"/>
        </w:rPr>
        <w:t>，</w:t>
      </w:r>
      <w:r>
        <w:rPr>
          <w:szCs w:val="32"/>
        </w:rPr>
        <w:t>应先按程序完成详细规划调整</w:t>
      </w:r>
      <w:r>
        <w:rPr>
          <w:rFonts w:hint="eastAsia"/>
          <w:szCs w:val="32"/>
        </w:rPr>
        <w:t>。</w:t>
      </w:r>
    </w:p>
    <w:p>
      <w:pPr>
        <w:spacing w:line="600" w:lineRule="exact"/>
        <w:ind w:firstLine="632" w:firstLineChars="200"/>
        <w:rPr>
          <w:szCs w:val="32"/>
        </w:rPr>
      </w:pPr>
      <w:r>
        <w:rPr>
          <w:rFonts w:eastAsia="黑体"/>
          <w:szCs w:val="32"/>
        </w:rPr>
        <w:t>第十条【经营性项目调整】</w:t>
      </w:r>
      <w:r>
        <w:rPr>
          <w:szCs w:val="32"/>
        </w:rPr>
        <w:t>经营性项目规划条件调整，执行以下规定：</w:t>
      </w:r>
      <w:r>
        <w:rPr>
          <w:rFonts w:eastAsia="楷体"/>
          <w:szCs w:val="32"/>
        </w:rPr>
        <w:t xml:space="preserve"> </w:t>
      </w:r>
    </w:p>
    <w:p>
      <w:pPr>
        <w:spacing w:line="600" w:lineRule="exact"/>
        <w:ind w:firstLine="632" w:firstLineChars="200"/>
        <w:rPr>
          <w:b/>
          <w:szCs w:val="32"/>
        </w:rPr>
      </w:pPr>
      <w:r>
        <w:rPr>
          <w:rFonts w:eastAsia="楷体_GB2312"/>
          <w:b/>
          <w:szCs w:val="32"/>
        </w:rPr>
        <w:t>（一）调整要求</w:t>
      </w:r>
    </w:p>
    <w:p>
      <w:pPr>
        <w:spacing w:line="600" w:lineRule="exact"/>
        <w:ind w:firstLine="632" w:firstLineChars="200"/>
        <w:rPr>
          <w:szCs w:val="32"/>
        </w:rPr>
      </w:pPr>
      <w:r>
        <w:rPr>
          <w:szCs w:val="32"/>
        </w:rPr>
        <w:t>1、对一级管控内容的调整实行严格管控。</w:t>
      </w:r>
      <w:r>
        <w:rPr>
          <w:rFonts w:hint="eastAsia"/>
          <w:szCs w:val="32"/>
        </w:rPr>
        <w:t>经营性项目</w:t>
      </w:r>
      <w:r>
        <w:rPr>
          <w:szCs w:val="32"/>
        </w:rPr>
        <w:t>供地后符合下列情形之一，且国家法律法规或土地出让合同没有规定、约定应当收回土地使用权的，按程序完成详细规划调整后方可申请：</w:t>
      </w:r>
    </w:p>
    <w:p>
      <w:pPr>
        <w:spacing w:line="600" w:lineRule="exact"/>
        <w:ind w:firstLine="632" w:firstLineChars="200"/>
        <w:rPr>
          <w:szCs w:val="32"/>
        </w:rPr>
      </w:pPr>
      <w:r>
        <w:rPr>
          <w:szCs w:val="32"/>
        </w:rPr>
        <w:t>（1）因国土空间规划修改导致地块开发条件变化的；</w:t>
      </w:r>
    </w:p>
    <w:p>
      <w:pPr>
        <w:spacing w:line="600" w:lineRule="exact"/>
        <w:ind w:firstLine="632" w:firstLineChars="200"/>
        <w:rPr>
          <w:szCs w:val="32"/>
        </w:rPr>
      </w:pPr>
      <w:r>
        <w:rPr>
          <w:szCs w:val="32"/>
        </w:rPr>
        <w:t>（2）因国家和省重大项目建设需要的；</w:t>
      </w:r>
    </w:p>
    <w:p>
      <w:pPr>
        <w:spacing w:line="600" w:lineRule="exact"/>
        <w:ind w:firstLine="632" w:firstLineChars="200"/>
        <w:rPr>
          <w:szCs w:val="32"/>
        </w:rPr>
      </w:pPr>
      <w:r>
        <w:rPr>
          <w:szCs w:val="32"/>
        </w:rPr>
        <w:t>（3）因城镇基础设施、公共服务设施和公共安全设施建设需要的；</w:t>
      </w:r>
    </w:p>
    <w:p>
      <w:pPr>
        <w:spacing w:line="600" w:lineRule="exact"/>
        <w:ind w:firstLine="632" w:firstLineChars="200"/>
        <w:rPr>
          <w:szCs w:val="32"/>
        </w:rPr>
      </w:pPr>
      <w:r>
        <w:rPr>
          <w:szCs w:val="32"/>
        </w:rPr>
        <w:t>（4）法律、法规规定的其他情形。</w:t>
      </w:r>
    </w:p>
    <w:p>
      <w:pPr>
        <w:spacing w:line="600" w:lineRule="exact"/>
        <w:ind w:firstLine="632" w:firstLineChars="200"/>
        <w:rPr>
          <w:szCs w:val="32"/>
        </w:rPr>
      </w:pPr>
      <w:r>
        <w:rPr>
          <w:szCs w:val="32"/>
        </w:rPr>
        <w:t>禁止商业办公、商品住宅等经营性项目提高容积率，禁止其他经营性项目调整为商品住宅项目，但符合市轨道TOD政策、“三旧”改造政策或有关历史遗留问题处理政策的除外。</w:t>
      </w:r>
    </w:p>
    <w:p>
      <w:pPr>
        <w:spacing w:line="600" w:lineRule="exact"/>
        <w:ind w:firstLine="632" w:firstLineChars="200"/>
        <w:rPr>
          <w:szCs w:val="32"/>
        </w:rPr>
      </w:pPr>
      <w:r>
        <w:rPr>
          <w:szCs w:val="32"/>
        </w:rPr>
        <w:t>2、对二级管控内容实行正向调整管控</w:t>
      </w:r>
      <w:r>
        <w:rPr>
          <w:rFonts w:hint="eastAsia"/>
          <w:szCs w:val="32"/>
        </w:rPr>
        <w:t>。用地单位</w:t>
      </w:r>
      <w:r>
        <w:rPr>
          <w:szCs w:val="32"/>
        </w:rPr>
        <w:t>可以根据项目建设需要，按程序提出申请。涉及详细规划调整的，应当按程序完成详细规划调整后申请。</w:t>
      </w:r>
    </w:p>
    <w:p>
      <w:pPr>
        <w:spacing w:line="600" w:lineRule="exact"/>
        <w:ind w:firstLine="632" w:firstLineChars="200"/>
        <w:rPr>
          <w:b/>
          <w:szCs w:val="32"/>
        </w:rPr>
      </w:pPr>
      <w:r>
        <w:rPr>
          <w:rFonts w:eastAsia="楷体_GB2312"/>
          <w:b/>
          <w:szCs w:val="32"/>
        </w:rPr>
        <w:t>（二）审批程序</w:t>
      </w:r>
    </w:p>
    <w:p>
      <w:pPr>
        <w:spacing w:line="600" w:lineRule="exact"/>
        <w:ind w:firstLine="632" w:firstLineChars="200"/>
        <w:rPr>
          <w:szCs w:val="32"/>
        </w:rPr>
      </w:pPr>
      <w:r>
        <w:rPr>
          <w:szCs w:val="32"/>
        </w:rPr>
        <w:t>1、调整一级管控内容，应当经市政府同意后方可申请，</w:t>
      </w:r>
      <w:r>
        <w:rPr>
          <w:rFonts w:hint="eastAsia"/>
          <w:szCs w:val="32"/>
        </w:rPr>
        <w:t>具体</w:t>
      </w:r>
      <w:r>
        <w:rPr>
          <w:szCs w:val="32"/>
        </w:rPr>
        <w:t>按以下程序进行：</w:t>
      </w:r>
    </w:p>
    <w:p>
      <w:pPr>
        <w:spacing w:line="600" w:lineRule="exact"/>
        <w:ind w:firstLine="632" w:firstLineChars="200"/>
        <w:rPr>
          <w:szCs w:val="32"/>
        </w:rPr>
      </w:pPr>
      <w:r>
        <w:rPr>
          <w:szCs w:val="32"/>
        </w:rPr>
        <w:t>（1）属地镇街政府提出调整诉求，并充分论证具体理据，经市自然资源局技术性审查后，报请市政府研究同意；涉及详细规划调整的，合并报请市政府研究同意</w:t>
      </w:r>
      <w:r>
        <w:rPr>
          <w:rFonts w:hint="eastAsia"/>
          <w:szCs w:val="32"/>
        </w:rPr>
        <w:t>。已通过其他方式取得市政府同意的，可无需重复申请。</w:t>
      </w:r>
    </w:p>
    <w:p>
      <w:pPr>
        <w:spacing w:line="600" w:lineRule="exact"/>
        <w:ind w:firstLine="632" w:firstLineChars="200"/>
        <w:rPr>
          <w:szCs w:val="32"/>
        </w:rPr>
      </w:pPr>
      <w:r>
        <w:rPr>
          <w:szCs w:val="32"/>
        </w:rPr>
        <w:t>（2）用地单位按程序申请办理</w:t>
      </w:r>
      <w:r>
        <w:rPr>
          <w:rFonts w:hint="eastAsia"/>
          <w:szCs w:val="32"/>
        </w:rPr>
        <w:t>。</w:t>
      </w:r>
    </w:p>
    <w:p>
      <w:pPr>
        <w:spacing w:line="600" w:lineRule="exact"/>
        <w:ind w:firstLine="632" w:firstLineChars="200"/>
        <w:rPr>
          <w:szCs w:val="32"/>
        </w:rPr>
      </w:pPr>
      <w:r>
        <w:rPr>
          <w:szCs w:val="32"/>
        </w:rPr>
        <w:t>（3）市自然资源局业务专题会议和局务会议审议</w:t>
      </w:r>
      <w:r>
        <w:rPr>
          <w:rFonts w:hint="eastAsia"/>
          <w:szCs w:val="32"/>
        </w:rPr>
        <w:t>。</w:t>
      </w:r>
    </w:p>
    <w:p>
      <w:pPr>
        <w:spacing w:line="600" w:lineRule="exact"/>
        <w:ind w:firstLine="632" w:firstLineChars="200"/>
        <w:rPr>
          <w:szCs w:val="32"/>
        </w:rPr>
      </w:pPr>
      <w:r>
        <w:rPr>
          <w:szCs w:val="32"/>
        </w:rPr>
        <w:t>（4）</w:t>
      </w:r>
      <w:r>
        <w:t>市自然资源开发利用委员会</w:t>
      </w:r>
      <w:r>
        <w:rPr>
          <w:szCs w:val="32"/>
        </w:rPr>
        <w:t>审议</w:t>
      </w:r>
      <w:r>
        <w:rPr>
          <w:rFonts w:hint="eastAsia"/>
          <w:szCs w:val="32"/>
        </w:rPr>
        <w:t>。</w:t>
      </w:r>
    </w:p>
    <w:p>
      <w:pPr>
        <w:spacing w:line="600" w:lineRule="exact"/>
        <w:ind w:firstLine="632" w:firstLineChars="200"/>
        <w:rPr>
          <w:szCs w:val="32"/>
        </w:rPr>
      </w:pPr>
      <w:r>
        <w:t>（5）</w:t>
      </w:r>
      <w:r>
        <w:rPr>
          <w:szCs w:val="32"/>
        </w:rPr>
        <w:t>市政府审批</w:t>
      </w:r>
      <w:r>
        <w:rPr>
          <w:rFonts w:hint="eastAsia"/>
          <w:szCs w:val="32"/>
        </w:rPr>
        <w:t>。</w:t>
      </w:r>
    </w:p>
    <w:p>
      <w:pPr>
        <w:spacing w:line="600" w:lineRule="exact"/>
        <w:ind w:firstLine="632" w:firstLineChars="200"/>
        <w:rPr>
          <w:szCs w:val="32"/>
        </w:rPr>
      </w:pPr>
      <w:r>
        <w:rPr>
          <w:szCs w:val="32"/>
        </w:rPr>
        <w:t>（6）重新签订土地出让合同或者变更协议，重新核发《建设用地规划许可证》。</w:t>
      </w:r>
    </w:p>
    <w:p>
      <w:pPr>
        <w:spacing w:line="600" w:lineRule="exact"/>
        <w:ind w:firstLine="632" w:firstLineChars="200"/>
        <w:rPr>
          <w:szCs w:val="32"/>
        </w:rPr>
      </w:pPr>
      <w:r>
        <w:rPr>
          <w:szCs w:val="32"/>
        </w:rPr>
        <w:t>2、调整二级管控内容，应当按以下程序进行：</w:t>
      </w:r>
    </w:p>
    <w:p>
      <w:pPr>
        <w:spacing w:line="600" w:lineRule="exact"/>
        <w:ind w:firstLine="632" w:firstLineChars="200"/>
        <w:rPr>
          <w:szCs w:val="32"/>
        </w:rPr>
      </w:pPr>
      <w:r>
        <w:rPr>
          <w:szCs w:val="32"/>
        </w:rPr>
        <w:t>（1）用地单位向属地镇街政府提出调整诉求，并获</w:t>
      </w:r>
      <w:r>
        <w:rPr>
          <w:rFonts w:hint="eastAsia"/>
          <w:szCs w:val="32"/>
        </w:rPr>
        <w:t>得</w:t>
      </w:r>
      <w:r>
        <w:rPr>
          <w:szCs w:val="32"/>
        </w:rPr>
        <w:t>镇街政府同意</w:t>
      </w:r>
      <w:r>
        <w:rPr>
          <w:rFonts w:hint="eastAsia"/>
          <w:szCs w:val="32"/>
        </w:rPr>
        <w:t>。</w:t>
      </w:r>
    </w:p>
    <w:p>
      <w:pPr>
        <w:spacing w:line="600" w:lineRule="exact"/>
        <w:ind w:firstLine="632" w:firstLineChars="200"/>
        <w:rPr>
          <w:szCs w:val="32"/>
        </w:rPr>
      </w:pPr>
      <w:r>
        <w:rPr>
          <w:szCs w:val="32"/>
        </w:rPr>
        <w:t>（2）用地单位按程序申请办理</w:t>
      </w:r>
      <w:r>
        <w:rPr>
          <w:rFonts w:hint="eastAsia"/>
          <w:szCs w:val="32"/>
        </w:rPr>
        <w:t>。</w:t>
      </w:r>
    </w:p>
    <w:p>
      <w:pPr>
        <w:spacing w:line="600" w:lineRule="exact"/>
        <w:ind w:firstLine="632" w:firstLineChars="200"/>
        <w:rPr>
          <w:szCs w:val="32"/>
        </w:rPr>
      </w:pPr>
      <w:r>
        <w:rPr>
          <w:szCs w:val="32"/>
        </w:rPr>
        <w:t>（3）市自然资源局业务专题会议和局务会议审议</w:t>
      </w:r>
      <w:r>
        <w:rPr>
          <w:rFonts w:hint="eastAsia"/>
          <w:szCs w:val="32"/>
        </w:rPr>
        <w:t>。</w:t>
      </w:r>
    </w:p>
    <w:p>
      <w:pPr>
        <w:spacing w:line="600" w:lineRule="exact"/>
        <w:ind w:firstLine="632" w:firstLineChars="200"/>
        <w:rPr>
          <w:szCs w:val="32"/>
        </w:rPr>
      </w:pPr>
      <w:r>
        <w:rPr>
          <w:szCs w:val="32"/>
        </w:rPr>
        <w:t>（4）市政府审批，其中涉及征缴土地出让金</w:t>
      </w:r>
      <w:r>
        <w:rPr>
          <w:rFonts w:hint="eastAsia"/>
          <w:szCs w:val="32"/>
        </w:rPr>
        <w:t>差额</w:t>
      </w:r>
      <w:r>
        <w:rPr>
          <w:szCs w:val="32"/>
        </w:rPr>
        <w:t>的，应当征求市财政部门及相关职能部门意见</w:t>
      </w:r>
      <w:r>
        <w:rPr>
          <w:rFonts w:hint="eastAsia"/>
          <w:szCs w:val="32"/>
        </w:rPr>
        <w:t>。</w:t>
      </w:r>
      <w:r>
        <w:rPr>
          <w:szCs w:val="32"/>
        </w:rPr>
        <w:t xml:space="preserve"> </w:t>
      </w:r>
    </w:p>
    <w:p>
      <w:pPr>
        <w:spacing w:line="600" w:lineRule="exact"/>
        <w:ind w:firstLine="632" w:firstLineChars="200"/>
        <w:rPr>
          <w:szCs w:val="32"/>
        </w:rPr>
      </w:pPr>
      <w:r>
        <w:rPr>
          <w:szCs w:val="32"/>
        </w:rPr>
        <w:t>（5）重新签订土地出让合同或者变更协议，重新核发《建设用地规划许可证》。</w:t>
      </w:r>
    </w:p>
    <w:p>
      <w:pPr>
        <w:spacing w:line="600" w:lineRule="exact"/>
        <w:ind w:firstLine="632" w:firstLineChars="200"/>
        <w:rPr>
          <w:szCs w:val="32"/>
        </w:rPr>
      </w:pPr>
      <w:r>
        <w:rPr>
          <w:rFonts w:eastAsia="黑体"/>
          <w:szCs w:val="32"/>
        </w:rPr>
        <w:t>第十一条【产业项目调整】</w:t>
      </w:r>
      <w:r>
        <w:rPr>
          <w:szCs w:val="32"/>
        </w:rPr>
        <w:t>产业项目规划条件调整，执行以下规定：</w:t>
      </w:r>
    </w:p>
    <w:p>
      <w:pPr>
        <w:spacing w:line="600" w:lineRule="exact"/>
        <w:ind w:firstLine="632" w:firstLineChars="200"/>
        <w:rPr>
          <w:szCs w:val="32"/>
        </w:rPr>
      </w:pPr>
      <w:r>
        <w:rPr>
          <w:rFonts w:eastAsia="楷体_GB2312"/>
          <w:b/>
          <w:szCs w:val="32"/>
        </w:rPr>
        <w:t>（一）调整要求</w:t>
      </w:r>
    </w:p>
    <w:p>
      <w:pPr>
        <w:spacing w:line="600" w:lineRule="exact"/>
        <w:ind w:firstLine="632" w:firstLineChars="200"/>
        <w:rPr>
          <w:szCs w:val="32"/>
        </w:rPr>
      </w:pPr>
      <w:r>
        <w:rPr>
          <w:szCs w:val="32"/>
        </w:rPr>
        <w:t>1、对一级管控内容的调整实行严格管控</w:t>
      </w:r>
      <w:r>
        <w:rPr>
          <w:rFonts w:hint="eastAsia"/>
          <w:szCs w:val="32"/>
        </w:rPr>
        <w:t>，</w:t>
      </w:r>
      <w:r>
        <w:rPr>
          <w:szCs w:val="32"/>
        </w:rPr>
        <w:t>禁止产业项目的使用性质调整为经营性项目用途，但符合新型产业用地政策或国家、省鼓励性政策的除外</w:t>
      </w:r>
      <w:r>
        <w:rPr>
          <w:rFonts w:hint="eastAsia"/>
          <w:szCs w:val="32"/>
        </w:rPr>
        <w:t>。</w:t>
      </w:r>
    </w:p>
    <w:p>
      <w:pPr>
        <w:spacing w:line="600" w:lineRule="exact"/>
        <w:ind w:firstLine="632" w:firstLineChars="200"/>
        <w:rPr>
          <w:szCs w:val="32"/>
        </w:rPr>
      </w:pPr>
      <w:r>
        <w:rPr>
          <w:szCs w:val="32"/>
        </w:rPr>
        <w:t>2、对二级管控内容实行正向调整管控</w:t>
      </w:r>
      <w:r>
        <w:rPr>
          <w:rFonts w:hint="eastAsia"/>
          <w:szCs w:val="32"/>
        </w:rPr>
        <w:t>。用地单位</w:t>
      </w:r>
      <w:r>
        <w:rPr>
          <w:szCs w:val="32"/>
        </w:rPr>
        <w:t>可以根据项目建设需要，按程序提出申请。涉及详细规划调整的，应当按程序完成详细规划调整后申请。</w:t>
      </w:r>
    </w:p>
    <w:p>
      <w:pPr>
        <w:spacing w:line="600" w:lineRule="exact"/>
        <w:ind w:firstLine="632" w:firstLineChars="200"/>
        <w:rPr>
          <w:szCs w:val="32"/>
        </w:rPr>
      </w:pPr>
      <w:r>
        <w:rPr>
          <w:rFonts w:eastAsia="楷体_GB2312"/>
          <w:b/>
          <w:szCs w:val="32"/>
        </w:rPr>
        <w:t>（二）审批程序</w:t>
      </w:r>
    </w:p>
    <w:p>
      <w:pPr>
        <w:spacing w:line="600" w:lineRule="exact"/>
        <w:ind w:firstLine="632" w:firstLineChars="200"/>
        <w:rPr>
          <w:szCs w:val="32"/>
        </w:rPr>
      </w:pPr>
      <w:r>
        <w:rPr>
          <w:szCs w:val="32"/>
        </w:rPr>
        <w:t>1、调整一级管控内容，应当按以下程序进行：</w:t>
      </w:r>
    </w:p>
    <w:p>
      <w:pPr>
        <w:spacing w:line="600" w:lineRule="exact"/>
        <w:ind w:firstLine="632" w:firstLineChars="200"/>
        <w:rPr>
          <w:szCs w:val="32"/>
        </w:rPr>
      </w:pPr>
      <w:r>
        <w:rPr>
          <w:szCs w:val="32"/>
        </w:rPr>
        <w:t>（1）用地单位按程序申请办理</w:t>
      </w:r>
      <w:r>
        <w:rPr>
          <w:rFonts w:hint="eastAsia"/>
          <w:szCs w:val="32"/>
        </w:rPr>
        <w:t>。</w:t>
      </w:r>
    </w:p>
    <w:p>
      <w:pPr>
        <w:spacing w:line="600" w:lineRule="exact"/>
        <w:ind w:firstLine="632" w:firstLineChars="200"/>
        <w:rPr>
          <w:szCs w:val="32"/>
        </w:rPr>
      </w:pPr>
      <w:r>
        <w:rPr>
          <w:szCs w:val="32"/>
        </w:rPr>
        <w:t>（2）市自然资源局业务专题会议和局务会议审议</w:t>
      </w:r>
      <w:r>
        <w:rPr>
          <w:rFonts w:hint="eastAsia"/>
          <w:szCs w:val="32"/>
        </w:rPr>
        <w:t>。</w:t>
      </w:r>
    </w:p>
    <w:p>
      <w:pPr>
        <w:spacing w:line="600" w:lineRule="exact"/>
        <w:ind w:firstLine="632" w:firstLineChars="200"/>
        <w:rPr>
          <w:szCs w:val="32"/>
        </w:rPr>
      </w:pPr>
      <w:r>
        <w:rPr>
          <w:szCs w:val="32"/>
        </w:rPr>
        <w:t>（3）市政府审批，涉及征缴土地出让金</w:t>
      </w:r>
      <w:r>
        <w:rPr>
          <w:rFonts w:hint="eastAsia"/>
          <w:szCs w:val="32"/>
        </w:rPr>
        <w:t>差额</w:t>
      </w:r>
      <w:r>
        <w:rPr>
          <w:szCs w:val="32"/>
        </w:rPr>
        <w:t>的，应当征求市财政部门及相关职能部门意见</w:t>
      </w:r>
      <w:r>
        <w:rPr>
          <w:rFonts w:hint="eastAsia"/>
          <w:szCs w:val="32"/>
        </w:rPr>
        <w:t>。</w:t>
      </w:r>
    </w:p>
    <w:p>
      <w:pPr>
        <w:spacing w:line="600" w:lineRule="exact"/>
        <w:ind w:firstLine="632" w:firstLineChars="200"/>
        <w:rPr>
          <w:szCs w:val="32"/>
        </w:rPr>
      </w:pPr>
      <w:r>
        <w:rPr>
          <w:szCs w:val="32"/>
        </w:rPr>
        <w:t>（4）重新签订土地出让合同或者变更协议，重新核发《建设用地规划许可证》。</w:t>
      </w:r>
    </w:p>
    <w:p>
      <w:pPr>
        <w:spacing w:line="600" w:lineRule="exact"/>
        <w:ind w:firstLine="632" w:firstLineChars="200"/>
        <w:rPr>
          <w:szCs w:val="32"/>
        </w:rPr>
      </w:pPr>
      <w:r>
        <w:rPr>
          <w:rFonts w:hint="eastAsia"/>
          <w:szCs w:val="32"/>
        </w:rPr>
        <w:t>产业项目符合</w:t>
      </w:r>
      <w:r>
        <w:rPr>
          <w:szCs w:val="32"/>
        </w:rPr>
        <w:t>新型产业用地政策或国家、省鼓励性政策</w:t>
      </w:r>
      <w:r>
        <w:rPr>
          <w:rFonts w:hint="eastAsia"/>
          <w:szCs w:val="32"/>
        </w:rPr>
        <w:t>，使用性质调为经营性项目用途</w:t>
      </w:r>
      <w:r>
        <w:rPr>
          <w:szCs w:val="32"/>
        </w:rPr>
        <w:t>的，按经营性项目调整一级管控内容的审批程序办理。</w:t>
      </w:r>
    </w:p>
    <w:p>
      <w:pPr>
        <w:spacing w:line="600" w:lineRule="exact"/>
        <w:ind w:firstLine="632" w:firstLineChars="200"/>
        <w:rPr>
          <w:szCs w:val="32"/>
        </w:rPr>
      </w:pPr>
      <w:r>
        <w:rPr>
          <w:szCs w:val="32"/>
        </w:rPr>
        <w:t>2、调整二级管控内容，应当按以下程序进行：</w:t>
      </w:r>
    </w:p>
    <w:p>
      <w:pPr>
        <w:spacing w:line="600" w:lineRule="exact"/>
        <w:ind w:firstLine="632" w:firstLineChars="200"/>
        <w:rPr>
          <w:szCs w:val="32"/>
        </w:rPr>
      </w:pPr>
      <w:r>
        <w:rPr>
          <w:szCs w:val="32"/>
        </w:rPr>
        <w:t>（1）用地单位按程序申请办理</w:t>
      </w:r>
      <w:r>
        <w:rPr>
          <w:rFonts w:hint="eastAsia"/>
          <w:szCs w:val="32"/>
        </w:rPr>
        <w:t>。</w:t>
      </w:r>
    </w:p>
    <w:p>
      <w:pPr>
        <w:spacing w:line="600" w:lineRule="exact"/>
        <w:ind w:firstLine="632" w:firstLineChars="200"/>
        <w:rPr>
          <w:szCs w:val="32"/>
        </w:rPr>
      </w:pPr>
      <w:r>
        <w:rPr>
          <w:szCs w:val="32"/>
        </w:rPr>
        <w:t>（2）市政府授权市自然资源局直接审批</w:t>
      </w:r>
      <w:r>
        <w:rPr>
          <w:rFonts w:hint="eastAsia"/>
          <w:szCs w:val="32"/>
        </w:rPr>
        <w:t>。</w:t>
      </w:r>
    </w:p>
    <w:p>
      <w:pPr>
        <w:spacing w:line="600" w:lineRule="exact"/>
        <w:ind w:firstLine="632" w:firstLineChars="200"/>
        <w:rPr>
          <w:szCs w:val="32"/>
        </w:rPr>
      </w:pPr>
      <w:r>
        <w:rPr>
          <w:szCs w:val="32"/>
        </w:rPr>
        <w:t>（3）重新签订土地出让合同或者变更协议，重新核发《建设用地规划许可证》。</w:t>
      </w:r>
    </w:p>
    <w:p>
      <w:pPr>
        <w:spacing w:line="600" w:lineRule="exact"/>
        <w:ind w:firstLine="632" w:firstLineChars="200"/>
        <w:rPr>
          <w:szCs w:val="32"/>
        </w:rPr>
      </w:pPr>
      <w:r>
        <w:rPr>
          <w:rFonts w:eastAsia="黑体"/>
          <w:szCs w:val="32"/>
        </w:rPr>
        <w:t>第十二条【公益项目调整】</w:t>
      </w:r>
      <w:r>
        <w:rPr>
          <w:szCs w:val="32"/>
        </w:rPr>
        <w:t>公益项目规划条件调整，执行以下规定：</w:t>
      </w:r>
    </w:p>
    <w:p>
      <w:pPr>
        <w:spacing w:line="600" w:lineRule="exact"/>
        <w:ind w:firstLine="632" w:firstLineChars="200"/>
        <w:rPr>
          <w:rFonts w:ascii="楷体_GB2312" w:eastAsia="楷体_GB2312"/>
          <w:b/>
          <w:szCs w:val="32"/>
        </w:rPr>
      </w:pPr>
      <w:r>
        <w:rPr>
          <w:rFonts w:hint="eastAsia" w:ascii="楷体_GB2312" w:eastAsia="楷体_GB2312"/>
          <w:b/>
          <w:szCs w:val="32"/>
        </w:rPr>
        <w:t>（一）调整要求</w:t>
      </w:r>
    </w:p>
    <w:p>
      <w:pPr>
        <w:spacing w:line="600" w:lineRule="exact"/>
        <w:ind w:firstLine="632" w:firstLineChars="200"/>
        <w:rPr>
          <w:szCs w:val="32"/>
        </w:rPr>
      </w:pPr>
      <w:r>
        <w:rPr>
          <w:szCs w:val="32"/>
        </w:rPr>
        <w:t>1、对一级管控内容的调整实行严格管控，禁止公益项目的使用性质调整为经营性和产业项目用途，但符合国家、省鼓励性政策的除外。</w:t>
      </w:r>
    </w:p>
    <w:p>
      <w:pPr>
        <w:spacing w:line="600" w:lineRule="exact"/>
        <w:ind w:firstLine="632" w:firstLineChars="200"/>
        <w:rPr>
          <w:szCs w:val="32"/>
        </w:rPr>
      </w:pPr>
      <w:r>
        <w:rPr>
          <w:szCs w:val="32"/>
        </w:rPr>
        <w:t>2、对二级管控内容实行正向调整管控，用地单位可以根据项目建设需要，按程序提出申请。涉及详细规划调整的，应当按程序完成详细规划调整后申请。</w:t>
      </w:r>
    </w:p>
    <w:p>
      <w:pPr>
        <w:spacing w:line="600" w:lineRule="exact"/>
        <w:ind w:firstLine="632" w:firstLineChars="200"/>
        <w:rPr>
          <w:rFonts w:ascii="楷体_GB2312" w:eastAsia="楷体_GB2312"/>
          <w:b/>
          <w:szCs w:val="32"/>
        </w:rPr>
      </w:pPr>
      <w:r>
        <w:rPr>
          <w:rFonts w:hint="eastAsia" w:ascii="楷体_GB2312" w:eastAsia="楷体_GB2312"/>
          <w:b/>
          <w:szCs w:val="32"/>
        </w:rPr>
        <w:t>（二）审批程序</w:t>
      </w:r>
    </w:p>
    <w:p>
      <w:pPr>
        <w:spacing w:line="600" w:lineRule="exact"/>
        <w:ind w:firstLine="632" w:firstLineChars="200"/>
        <w:rPr>
          <w:szCs w:val="32"/>
        </w:rPr>
      </w:pPr>
      <w:r>
        <w:rPr>
          <w:szCs w:val="32"/>
        </w:rPr>
        <w:t>1、调整一级管控内容，属于出让以及应当补办出让的，应当按以下程序进行：</w:t>
      </w:r>
    </w:p>
    <w:p>
      <w:pPr>
        <w:spacing w:line="600" w:lineRule="exact"/>
        <w:ind w:firstLine="632" w:firstLineChars="200"/>
        <w:rPr>
          <w:szCs w:val="32"/>
        </w:rPr>
      </w:pPr>
      <w:r>
        <w:rPr>
          <w:szCs w:val="32"/>
        </w:rPr>
        <w:t>（1）属地镇街政府提出调整诉求，并充分论证具体理据，经市自然资源局技术性审查后，报请市政府研究同意；涉及详细规划调整的，合并报请市政府研究同意。已通过其他方式取得市政府同意的，可无需重复申请。</w:t>
      </w:r>
    </w:p>
    <w:p>
      <w:pPr>
        <w:spacing w:line="600" w:lineRule="exact"/>
        <w:ind w:firstLine="632" w:firstLineChars="200"/>
        <w:rPr>
          <w:szCs w:val="32"/>
        </w:rPr>
      </w:pPr>
      <w:r>
        <w:rPr>
          <w:szCs w:val="32"/>
        </w:rPr>
        <w:t>（2）用地单位按程序申请办理。</w:t>
      </w:r>
    </w:p>
    <w:p>
      <w:pPr>
        <w:spacing w:line="600" w:lineRule="exact"/>
        <w:ind w:firstLine="632" w:firstLineChars="200"/>
        <w:rPr>
          <w:szCs w:val="32"/>
        </w:rPr>
      </w:pPr>
      <w:r>
        <w:rPr>
          <w:szCs w:val="32"/>
        </w:rPr>
        <w:t>（3）市自然资源局业务专题会议和局务会议审议。</w:t>
      </w:r>
    </w:p>
    <w:p>
      <w:pPr>
        <w:spacing w:line="600" w:lineRule="exact"/>
        <w:ind w:firstLine="632" w:firstLineChars="200"/>
        <w:rPr>
          <w:szCs w:val="32"/>
        </w:rPr>
      </w:pPr>
      <w:r>
        <w:rPr>
          <w:szCs w:val="32"/>
        </w:rPr>
        <w:t xml:space="preserve">（4）市政府审批，其中涉及征缴土地出让金差额的，征求市财政部门及相关职能部门意见。 </w:t>
      </w:r>
    </w:p>
    <w:p>
      <w:pPr>
        <w:spacing w:line="600" w:lineRule="exact"/>
        <w:ind w:firstLine="632" w:firstLineChars="200"/>
        <w:rPr>
          <w:szCs w:val="32"/>
        </w:rPr>
      </w:pPr>
      <w:r>
        <w:rPr>
          <w:szCs w:val="32"/>
        </w:rPr>
        <w:t>（5）重新签订土地出让合同或者变更协议，重新核发《建设用地规划许可证》。</w:t>
      </w:r>
    </w:p>
    <w:p>
      <w:pPr>
        <w:spacing w:line="600" w:lineRule="exact"/>
        <w:ind w:firstLine="632" w:firstLineChars="200"/>
        <w:rPr>
          <w:szCs w:val="32"/>
        </w:rPr>
      </w:pPr>
      <w:r>
        <w:rPr>
          <w:szCs w:val="32"/>
        </w:rPr>
        <w:t>公益用地符合国家、省鼓励性政策，使用性质调为经营性项目用途的，按经营性项目调整一级管控内容的审批程序办理。</w:t>
      </w:r>
    </w:p>
    <w:p>
      <w:pPr>
        <w:spacing w:line="600" w:lineRule="exact"/>
        <w:ind w:firstLine="632" w:firstLineChars="200"/>
        <w:rPr>
          <w:szCs w:val="32"/>
        </w:rPr>
      </w:pPr>
      <w:r>
        <w:rPr>
          <w:szCs w:val="32"/>
        </w:rPr>
        <w:t>2、调整一级管控内容，属于划拨的，应当按以下程序进行：</w:t>
      </w:r>
    </w:p>
    <w:p>
      <w:pPr>
        <w:spacing w:line="600" w:lineRule="exact"/>
        <w:ind w:firstLine="632" w:firstLineChars="200"/>
        <w:rPr>
          <w:szCs w:val="32"/>
        </w:rPr>
      </w:pPr>
      <w:r>
        <w:rPr>
          <w:szCs w:val="32"/>
        </w:rPr>
        <w:t>（1）用地单位按程序申请办理。</w:t>
      </w:r>
    </w:p>
    <w:p>
      <w:pPr>
        <w:spacing w:line="600" w:lineRule="exact"/>
        <w:ind w:firstLine="632" w:firstLineChars="200"/>
        <w:rPr>
          <w:szCs w:val="32"/>
        </w:rPr>
      </w:pPr>
      <w:r>
        <w:rPr>
          <w:szCs w:val="32"/>
        </w:rPr>
        <w:t>（2）市自然资源局业务专题会议和局务会议审议。</w:t>
      </w:r>
    </w:p>
    <w:p>
      <w:pPr>
        <w:spacing w:line="600" w:lineRule="exact"/>
        <w:ind w:firstLine="632" w:firstLineChars="200"/>
        <w:rPr>
          <w:szCs w:val="32"/>
        </w:rPr>
      </w:pPr>
      <w:r>
        <w:rPr>
          <w:szCs w:val="32"/>
        </w:rPr>
        <w:t>（3）市政府授权市自然资源局直接审批。</w:t>
      </w:r>
    </w:p>
    <w:p>
      <w:pPr>
        <w:spacing w:line="600" w:lineRule="exact"/>
        <w:ind w:firstLine="632" w:firstLineChars="200"/>
        <w:rPr>
          <w:szCs w:val="32"/>
        </w:rPr>
      </w:pPr>
      <w:r>
        <w:rPr>
          <w:szCs w:val="32"/>
        </w:rPr>
        <w:t>（4）重新核发《划拨决定书》或用地批复，重新核发《建设用地规划许可证》。</w:t>
      </w:r>
    </w:p>
    <w:p>
      <w:pPr>
        <w:spacing w:line="600" w:lineRule="exact"/>
        <w:ind w:firstLine="632" w:firstLineChars="200"/>
        <w:rPr>
          <w:szCs w:val="32"/>
        </w:rPr>
      </w:pPr>
      <w:r>
        <w:rPr>
          <w:szCs w:val="32"/>
        </w:rPr>
        <w:t>3、调整二级管控内容，属于出让的，应当按以下程序进行：</w:t>
      </w:r>
    </w:p>
    <w:p>
      <w:pPr>
        <w:spacing w:line="600" w:lineRule="exact"/>
        <w:ind w:firstLine="632" w:firstLineChars="200"/>
        <w:rPr>
          <w:szCs w:val="32"/>
        </w:rPr>
      </w:pPr>
      <w:r>
        <w:rPr>
          <w:szCs w:val="32"/>
        </w:rPr>
        <w:t>（1）用地单位按程序申请办理。</w:t>
      </w:r>
    </w:p>
    <w:p>
      <w:pPr>
        <w:spacing w:line="600" w:lineRule="exact"/>
        <w:ind w:firstLine="632" w:firstLineChars="200"/>
        <w:rPr>
          <w:szCs w:val="32"/>
        </w:rPr>
      </w:pPr>
      <w:r>
        <w:rPr>
          <w:szCs w:val="32"/>
        </w:rPr>
        <w:t>（2）涉及征缴土地出让金差额的，由市自然资源局业务专题会议和局务会议审议，并征求市财政部门及相关职能部门意见后，报市政府审批；不涉及征缴土地出让金差额的，市政府授权市自然资源局直接审批。</w:t>
      </w:r>
    </w:p>
    <w:p>
      <w:pPr>
        <w:spacing w:line="600" w:lineRule="exact"/>
        <w:ind w:firstLine="632" w:firstLineChars="200"/>
        <w:rPr>
          <w:szCs w:val="32"/>
        </w:rPr>
      </w:pPr>
      <w:r>
        <w:rPr>
          <w:szCs w:val="32"/>
        </w:rPr>
        <w:t>（3）重新签订土地出让合同或者变更协议，重新核发《建设用地规划许可证》。</w:t>
      </w:r>
    </w:p>
    <w:p>
      <w:pPr>
        <w:spacing w:line="600" w:lineRule="exact"/>
        <w:ind w:firstLine="632" w:firstLineChars="200"/>
        <w:rPr>
          <w:szCs w:val="32"/>
        </w:rPr>
      </w:pPr>
      <w:r>
        <w:rPr>
          <w:szCs w:val="32"/>
        </w:rPr>
        <w:t>4、调整二级管控内容，属于划拨的，按以下程序进行：</w:t>
      </w:r>
    </w:p>
    <w:p>
      <w:pPr>
        <w:spacing w:line="600" w:lineRule="exact"/>
        <w:ind w:firstLine="632" w:firstLineChars="200"/>
        <w:rPr>
          <w:szCs w:val="32"/>
        </w:rPr>
      </w:pPr>
      <w:r>
        <w:rPr>
          <w:szCs w:val="32"/>
        </w:rPr>
        <w:t>（1）用地单位按程序申请办理。</w:t>
      </w:r>
    </w:p>
    <w:p>
      <w:pPr>
        <w:spacing w:line="600" w:lineRule="exact"/>
        <w:ind w:firstLine="632" w:firstLineChars="200"/>
        <w:rPr>
          <w:szCs w:val="32"/>
        </w:rPr>
      </w:pPr>
      <w:r>
        <w:rPr>
          <w:szCs w:val="32"/>
        </w:rPr>
        <w:t>（2）市政府授权市自然资源局直接审批。</w:t>
      </w:r>
    </w:p>
    <w:p>
      <w:pPr>
        <w:spacing w:line="600" w:lineRule="exact"/>
        <w:ind w:firstLine="632" w:firstLineChars="200"/>
        <w:rPr>
          <w:szCs w:val="32"/>
        </w:rPr>
      </w:pPr>
      <w:r>
        <w:rPr>
          <w:szCs w:val="32"/>
        </w:rPr>
        <w:t>（3）重新核发《划拨决定书》或用地批复，重新核发《建设用地规划许可证》。</w:t>
      </w:r>
    </w:p>
    <w:p>
      <w:pPr>
        <w:spacing w:line="600" w:lineRule="exact"/>
        <w:ind w:firstLine="632" w:firstLineChars="200"/>
        <w:rPr>
          <w:rFonts w:eastAsia="黑体"/>
          <w:szCs w:val="32"/>
        </w:rPr>
      </w:pPr>
      <w:r>
        <w:rPr>
          <w:rFonts w:eastAsia="黑体"/>
          <w:szCs w:val="32"/>
        </w:rPr>
        <w:t>第十三条【多审合一】</w:t>
      </w:r>
      <w:r>
        <w:rPr>
          <w:szCs w:val="32"/>
        </w:rPr>
        <w:t>已供地项目调整规划条件，不再另行单独核发《建设用地规划条件》或</w:t>
      </w:r>
      <w:r>
        <w:t>《</w:t>
      </w:r>
      <w:r>
        <w:rPr>
          <w:szCs w:val="32"/>
        </w:rPr>
        <w:t>建设项目</w:t>
      </w:r>
      <w:r>
        <w:t>用地预审与选址意见书》，直接同步办理建设用地规划许可和用地批准手续。</w:t>
      </w:r>
    </w:p>
    <w:p>
      <w:pPr>
        <w:spacing w:line="600" w:lineRule="exact"/>
        <w:ind w:firstLine="632" w:firstLineChars="200"/>
        <w:rPr>
          <w:szCs w:val="32"/>
        </w:rPr>
      </w:pPr>
      <w:r>
        <w:t>规划条件申请调整以自愿为前提，以不溯及既往为基本原则，</w:t>
      </w:r>
      <w:r>
        <w:rPr>
          <w:szCs w:val="32"/>
        </w:rPr>
        <w:t>建设单位或者个人未申请调整的内容，继续按照原核发规划条件、原批准时的技术规范执行，但详细规划对于“改建、新建、扩建”时要求捆绑实施的义务应当相应落实。</w:t>
      </w:r>
    </w:p>
    <w:p>
      <w:pPr>
        <w:spacing w:line="600" w:lineRule="exact"/>
        <w:rPr>
          <w:szCs w:val="32"/>
        </w:rPr>
      </w:pPr>
    </w:p>
    <w:p>
      <w:pPr>
        <w:spacing w:line="600" w:lineRule="exact"/>
        <w:jc w:val="center"/>
        <w:rPr>
          <w:rFonts w:eastAsia="黑体"/>
          <w:kern w:val="0"/>
          <w:szCs w:val="32"/>
        </w:rPr>
      </w:pPr>
      <w:r>
        <w:rPr>
          <w:rFonts w:eastAsia="黑体"/>
          <w:kern w:val="0"/>
          <w:szCs w:val="32"/>
        </w:rPr>
        <w:t>第四章 地价核算</w:t>
      </w:r>
    </w:p>
    <w:p>
      <w:pPr>
        <w:spacing w:line="600" w:lineRule="exact"/>
        <w:ind w:firstLine="632" w:firstLineChars="200"/>
        <w:rPr>
          <w:rFonts w:eastAsia="黑体"/>
          <w:szCs w:val="32"/>
        </w:rPr>
      </w:pPr>
    </w:p>
    <w:p>
      <w:pPr>
        <w:spacing w:line="600" w:lineRule="exact"/>
        <w:ind w:firstLine="615"/>
        <w:rPr>
          <w:szCs w:val="32"/>
        </w:rPr>
      </w:pPr>
      <w:r>
        <w:rPr>
          <w:rFonts w:eastAsia="黑体"/>
          <w:szCs w:val="32"/>
        </w:rPr>
        <w:t>第十四条【原则性规定】</w:t>
      </w:r>
      <w:r>
        <w:rPr>
          <w:szCs w:val="32"/>
        </w:rPr>
        <w:t>规划条件调整实行严格价值管控，应当按照《协议出让国有土地使用权规范》、《国有建设用地使用权出让地价评估技术规范》及国家、省有关规定评估调整前后不同规划条件（土地使用条件）产生的土地出让金差额，依法补缴；多项条件同时调整的，应当分别核算各项条件调整带来的土地出让金增减额，合并计算应补缴差额。</w:t>
      </w:r>
    </w:p>
    <w:p>
      <w:pPr>
        <w:spacing w:line="600" w:lineRule="exact"/>
        <w:ind w:firstLine="615"/>
        <w:rPr>
          <w:szCs w:val="32"/>
        </w:rPr>
      </w:pPr>
      <w:r>
        <w:rPr>
          <w:szCs w:val="32"/>
        </w:rPr>
        <w:t>“三旧”改造、新型产业用地、科研用地、地下空间等项目或其他情形，已单独制定评估和补缴政策规定的，从其规定。</w:t>
      </w:r>
    </w:p>
    <w:p>
      <w:pPr>
        <w:spacing w:line="600" w:lineRule="exact"/>
        <w:ind w:firstLine="615"/>
        <w:rPr>
          <w:szCs w:val="32"/>
        </w:rPr>
      </w:pPr>
      <w:r>
        <w:rPr>
          <w:szCs w:val="32"/>
        </w:rPr>
        <w:t>严禁违反规定减免土地出让金或以土地换项目、先征后返、补贴等形式变相减免土地出让金，但国家、省政策规定明确允许减免的除外。</w:t>
      </w:r>
    </w:p>
    <w:p>
      <w:pPr>
        <w:spacing w:line="600" w:lineRule="exact"/>
        <w:ind w:firstLine="615"/>
        <w:rPr>
          <w:szCs w:val="32"/>
        </w:rPr>
      </w:pPr>
      <w:r>
        <w:rPr>
          <w:rFonts w:eastAsia="黑体"/>
          <w:szCs w:val="32"/>
        </w:rPr>
        <w:t>第十五条【经营性项目地价差】</w:t>
      </w:r>
      <w:r>
        <w:rPr>
          <w:szCs w:val="32"/>
        </w:rPr>
        <w:t>经营性项目调整一级管控</w:t>
      </w:r>
      <w:r>
        <w:rPr>
          <w:rFonts w:hint="eastAsia"/>
          <w:szCs w:val="32"/>
        </w:rPr>
        <w:t>的使用性质（用地性质）、容积率、</w:t>
      </w:r>
      <w:r>
        <w:t>用地红线范围及面积</w:t>
      </w:r>
      <w:r>
        <w:rPr>
          <w:szCs w:val="32"/>
        </w:rPr>
        <w:t>，应当依法评估、征缴土地出让金差额；调整</w:t>
      </w:r>
      <w:r>
        <w:rPr>
          <w:rFonts w:hint="eastAsia"/>
          <w:szCs w:val="32"/>
        </w:rPr>
        <w:t>二级管控的</w:t>
      </w:r>
      <w:r>
        <w:rPr>
          <w:szCs w:val="32"/>
        </w:rPr>
        <w:t>建筑密度、地下</w:t>
      </w:r>
      <w:r>
        <w:rPr>
          <w:rFonts w:hint="eastAsia"/>
          <w:szCs w:val="32"/>
        </w:rPr>
        <w:t>建筑红线</w:t>
      </w:r>
      <w:r>
        <w:rPr>
          <w:szCs w:val="32"/>
        </w:rPr>
        <w:t>（</w:t>
      </w:r>
      <w:r>
        <w:rPr>
          <w:rFonts w:hint="eastAsia"/>
          <w:szCs w:val="32"/>
        </w:rPr>
        <w:t>增加</w:t>
      </w:r>
      <w:r>
        <w:rPr>
          <w:szCs w:val="32"/>
        </w:rPr>
        <w:t>地下</w:t>
      </w:r>
      <w:r>
        <w:rPr>
          <w:rFonts w:hint="eastAsia"/>
          <w:szCs w:val="32"/>
        </w:rPr>
        <w:t>空间</w:t>
      </w:r>
      <w:r>
        <w:rPr>
          <w:szCs w:val="32"/>
        </w:rPr>
        <w:t>），参照一级管控评估、征缴土地出让金差额。调整其他管控内容，无需单独评估、征缴土地出让金差额。</w:t>
      </w:r>
    </w:p>
    <w:p>
      <w:pPr>
        <w:spacing w:line="600" w:lineRule="exact"/>
        <w:ind w:firstLine="615"/>
        <w:rPr>
          <w:szCs w:val="32"/>
        </w:rPr>
      </w:pPr>
      <w:r>
        <w:rPr>
          <w:rFonts w:eastAsia="黑体"/>
          <w:szCs w:val="32"/>
        </w:rPr>
        <w:t>第十六条【产业项目地价差】</w:t>
      </w:r>
      <w:r>
        <w:rPr>
          <w:szCs w:val="32"/>
        </w:rPr>
        <w:t>产业项目调整一级管控内容，应当依法评估、征缴土地出让金差额；调整二级管控内容，按国家和省</w:t>
      </w:r>
      <w:r>
        <w:rPr>
          <w:rFonts w:hint="eastAsia"/>
          <w:szCs w:val="32"/>
        </w:rPr>
        <w:t>的</w:t>
      </w:r>
      <w:r>
        <w:rPr>
          <w:szCs w:val="32"/>
        </w:rPr>
        <w:t>政策规定无需征缴土地出让金差额。</w:t>
      </w:r>
    </w:p>
    <w:p>
      <w:pPr>
        <w:spacing w:line="600" w:lineRule="exact"/>
        <w:ind w:firstLine="615"/>
        <w:rPr>
          <w:szCs w:val="32"/>
        </w:rPr>
      </w:pPr>
      <w:r>
        <w:rPr>
          <w:rFonts w:eastAsia="黑体"/>
          <w:szCs w:val="32"/>
        </w:rPr>
        <w:t>第十七条【公益项目地价差】</w:t>
      </w:r>
      <w:r>
        <w:rPr>
          <w:szCs w:val="32"/>
        </w:rPr>
        <w:t>公益项目</w:t>
      </w:r>
      <w:r>
        <w:rPr>
          <w:rFonts w:hint="eastAsia"/>
          <w:szCs w:val="32"/>
        </w:rPr>
        <w:t>，</w:t>
      </w:r>
      <w:r>
        <w:rPr>
          <w:szCs w:val="32"/>
        </w:rPr>
        <w:t>以出让等有偿方式供地的</w:t>
      </w:r>
      <w:r>
        <w:rPr>
          <w:rFonts w:hint="eastAsia"/>
          <w:szCs w:val="32"/>
        </w:rPr>
        <w:t>，</w:t>
      </w:r>
      <w:r>
        <w:rPr>
          <w:szCs w:val="32"/>
        </w:rPr>
        <w:t>调整一级管控内容</w:t>
      </w:r>
      <w:r>
        <w:rPr>
          <w:rFonts w:hint="eastAsia"/>
          <w:szCs w:val="32"/>
        </w:rPr>
        <w:t>以及调整</w:t>
      </w:r>
      <w:r>
        <w:rPr>
          <w:szCs w:val="32"/>
        </w:rPr>
        <w:t>二级管控中的容积率</w:t>
      </w:r>
      <w:r>
        <w:rPr>
          <w:rFonts w:hint="eastAsia"/>
          <w:szCs w:val="32"/>
        </w:rPr>
        <w:t>、</w:t>
      </w:r>
      <w:r>
        <w:rPr>
          <w:szCs w:val="32"/>
        </w:rPr>
        <w:t>用地红线范围及面积</w:t>
      </w:r>
      <w:r>
        <w:rPr>
          <w:rFonts w:hint="eastAsia"/>
          <w:szCs w:val="32"/>
        </w:rPr>
        <w:t>（增加用地面积）、地下建筑红线（增加</w:t>
      </w:r>
      <w:r>
        <w:rPr>
          <w:szCs w:val="32"/>
        </w:rPr>
        <w:t>地下</w:t>
      </w:r>
      <w:r>
        <w:rPr>
          <w:rFonts w:hint="eastAsia"/>
          <w:szCs w:val="32"/>
        </w:rPr>
        <w:t>空间）</w:t>
      </w:r>
      <w:r>
        <w:rPr>
          <w:szCs w:val="32"/>
        </w:rPr>
        <w:t>，应当依法评估、征缴土地出让金差额</w:t>
      </w:r>
      <w:r>
        <w:rPr>
          <w:rFonts w:hint="eastAsia"/>
          <w:szCs w:val="32"/>
        </w:rPr>
        <w:t>；</w:t>
      </w:r>
      <w:r>
        <w:rPr>
          <w:szCs w:val="32"/>
        </w:rPr>
        <w:t>调整其他管控内容，无需单独评估、征缴土地出让金差额。</w:t>
      </w:r>
      <w:r>
        <w:rPr>
          <w:rFonts w:hint="eastAsia"/>
          <w:szCs w:val="32"/>
        </w:rPr>
        <w:t>以划拨等无偿方式供地的，调整各级管控内容均</w:t>
      </w:r>
      <w:r>
        <w:rPr>
          <w:szCs w:val="32"/>
        </w:rPr>
        <w:t>无需单独评估、征缴土地出让金差额</w:t>
      </w:r>
      <w:r>
        <w:rPr>
          <w:rFonts w:hint="eastAsia"/>
          <w:szCs w:val="32"/>
        </w:rPr>
        <w:t>，但因调整导致</w:t>
      </w:r>
      <w:r>
        <w:rPr>
          <w:szCs w:val="32"/>
        </w:rPr>
        <w:t>划拨土地</w:t>
      </w:r>
      <w:r>
        <w:rPr>
          <w:rFonts w:hint="eastAsia"/>
          <w:szCs w:val="32"/>
        </w:rPr>
        <w:t>应当</w:t>
      </w:r>
      <w:r>
        <w:rPr>
          <w:szCs w:val="32"/>
        </w:rPr>
        <w:t>补办出让的</w:t>
      </w:r>
      <w:r>
        <w:rPr>
          <w:rFonts w:hint="eastAsia"/>
          <w:szCs w:val="32"/>
        </w:rPr>
        <w:t>除外</w:t>
      </w:r>
      <w:r>
        <w:rPr>
          <w:szCs w:val="32"/>
        </w:rPr>
        <w:t>。</w:t>
      </w:r>
    </w:p>
    <w:p>
      <w:pPr>
        <w:spacing w:line="600" w:lineRule="exact"/>
        <w:jc w:val="center"/>
        <w:rPr>
          <w:rFonts w:eastAsia="黑体"/>
          <w:szCs w:val="32"/>
        </w:rPr>
      </w:pPr>
    </w:p>
    <w:p>
      <w:pPr>
        <w:spacing w:line="600" w:lineRule="exact"/>
        <w:jc w:val="center"/>
        <w:rPr>
          <w:rFonts w:eastAsia="黑体"/>
          <w:kern w:val="0"/>
          <w:szCs w:val="32"/>
        </w:rPr>
      </w:pPr>
      <w:r>
        <w:rPr>
          <w:rFonts w:eastAsia="黑体"/>
          <w:kern w:val="0"/>
          <w:szCs w:val="32"/>
        </w:rPr>
        <w:t>第五章 规划条件的核实</w:t>
      </w:r>
    </w:p>
    <w:p>
      <w:pPr>
        <w:spacing w:line="600" w:lineRule="exact"/>
        <w:ind w:firstLine="632" w:firstLineChars="200"/>
        <w:rPr>
          <w:rFonts w:eastAsia="黑体"/>
          <w:szCs w:val="32"/>
        </w:rPr>
      </w:pPr>
    </w:p>
    <w:p>
      <w:pPr>
        <w:spacing w:line="600" w:lineRule="exact"/>
        <w:ind w:firstLine="615"/>
        <w:rPr>
          <w:szCs w:val="32"/>
        </w:rPr>
      </w:pPr>
      <w:r>
        <w:rPr>
          <w:rFonts w:eastAsia="黑体"/>
          <w:szCs w:val="32"/>
        </w:rPr>
        <w:t>第十八条【建设要求】</w:t>
      </w:r>
      <w:r>
        <w:rPr>
          <w:szCs w:val="32"/>
        </w:rPr>
        <w:t>建设单位或者个人应当按照建设工程规划许可的内容进行建设，不得擅自变更；需要变更的，应当经原许可机关批准。建设工程开工前，建设单位或者个人应当按程序完成放、验线工作。</w:t>
      </w:r>
    </w:p>
    <w:p>
      <w:pPr>
        <w:spacing w:line="600" w:lineRule="exact"/>
        <w:ind w:firstLine="615"/>
        <w:rPr>
          <w:szCs w:val="32"/>
        </w:rPr>
      </w:pPr>
      <w:r>
        <w:rPr>
          <w:rFonts w:eastAsia="黑体"/>
          <w:szCs w:val="32"/>
        </w:rPr>
        <w:t>第十九条【规划核实】</w:t>
      </w:r>
      <w:r>
        <w:rPr>
          <w:szCs w:val="32"/>
        </w:rPr>
        <w:t>建设工程竣工后，建设单位或者个人应按程序申请规划条件核实。规划条件各级管控内容的核实应当按照下列规定执行：</w:t>
      </w:r>
    </w:p>
    <w:p>
      <w:pPr>
        <w:spacing w:line="600" w:lineRule="exact"/>
        <w:ind w:firstLine="632" w:firstLineChars="200"/>
        <w:rPr>
          <w:rFonts w:eastAsia="楷体_GB2312"/>
          <w:b/>
          <w:szCs w:val="32"/>
        </w:rPr>
      </w:pPr>
      <w:r>
        <w:rPr>
          <w:rFonts w:eastAsia="楷体_GB2312"/>
          <w:b/>
          <w:szCs w:val="32"/>
        </w:rPr>
        <w:t>（一）一、二级管控内容的执行</w:t>
      </w:r>
    </w:p>
    <w:p>
      <w:pPr>
        <w:spacing w:line="600" w:lineRule="exact"/>
        <w:ind w:firstLine="632" w:firstLineChars="200"/>
        <w:rPr>
          <w:szCs w:val="32"/>
        </w:rPr>
      </w:pPr>
      <w:r>
        <w:rPr>
          <w:szCs w:val="32"/>
        </w:rPr>
        <w:t>一、二级管控内容属于严格执行条款，不得在规划核实阶段突破执行。其中，经济技术指标复核中属于施工误差范围内的</w:t>
      </w:r>
      <w:r>
        <w:rPr>
          <w:kern w:val="0"/>
          <w:szCs w:val="32"/>
        </w:rPr>
        <w:t>，允许容差审批。</w:t>
      </w:r>
    </w:p>
    <w:p>
      <w:pPr>
        <w:spacing w:line="600" w:lineRule="exact"/>
        <w:ind w:firstLine="632" w:firstLineChars="200"/>
        <w:rPr>
          <w:rFonts w:eastAsia="楷体_GB2312"/>
          <w:b/>
        </w:rPr>
      </w:pPr>
      <w:r>
        <w:rPr>
          <w:rFonts w:eastAsia="楷体_GB2312"/>
          <w:b/>
        </w:rPr>
        <w:t>（二）三级管控内容的执行</w:t>
      </w:r>
    </w:p>
    <w:p>
      <w:pPr>
        <w:spacing w:line="600" w:lineRule="exact"/>
        <w:ind w:firstLine="632" w:firstLineChars="200"/>
      </w:pPr>
      <w:r>
        <w:t>三级管控内容属于指导执行条款，按照依法批准的建设工程设计方案进行规划核实。</w:t>
      </w:r>
    </w:p>
    <w:p>
      <w:pPr>
        <w:spacing w:line="600" w:lineRule="exact"/>
        <w:ind w:firstLine="615"/>
        <w:rPr>
          <w:szCs w:val="32"/>
        </w:rPr>
      </w:pPr>
      <w:r>
        <w:rPr>
          <w:szCs w:val="32"/>
        </w:rPr>
        <w:t>经核实，发现建设单位或者个人未按照建设工程规划许可内容进行建设、或存在不符合一、二级管控内容情况的，自然资源主管部门应当</w:t>
      </w:r>
      <w:r>
        <w:rPr>
          <w:rFonts w:hint="eastAsia"/>
          <w:szCs w:val="32"/>
        </w:rPr>
        <w:t>告知</w:t>
      </w:r>
      <w:r>
        <w:rPr>
          <w:szCs w:val="32"/>
        </w:rPr>
        <w:t>其进行整改。对逾期不整改或经整改后仍不符合规划条件的建设工程，及时移交城市管理综合执法部门处理。</w:t>
      </w:r>
    </w:p>
    <w:p>
      <w:pPr>
        <w:spacing w:line="600" w:lineRule="exact"/>
        <w:rPr>
          <w:szCs w:val="32"/>
        </w:rPr>
      </w:pPr>
    </w:p>
    <w:p>
      <w:pPr>
        <w:spacing w:line="600" w:lineRule="exact"/>
        <w:ind w:firstLine="615"/>
        <w:jc w:val="center"/>
        <w:rPr>
          <w:rFonts w:eastAsia="黑体"/>
          <w:szCs w:val="32"/>
        </w:rPr>
      </w:pPr>
      <w:r>
        <w:rPr>
          <w:rFonts w:eastAsia="黑体"/>
          <w:szCs w:val="32"/>
        </w:rPr>
        <w:t>第六章 新旧衔接</w:t>
      </w:r>
    </w:p>
    <w:p>
      <w:pPr>
        <w:spacing w:line="600" w:lineRule="exact"/>
        <w:ind w:firstLine="615"/>
        <w:jc w:val="center"/>
        <w:rPr>
          <w:rFonts w:eastAsia="黑体"/>
          <w:szCs w:val="32"/>
        </w:rPr>
      </w:pPr>
    </w:p>
    <w:p>
      <w:pPr>
        <w:spacing w:line="600" w:lineRule="exact"/>
        <w:ind w:firstLine="632"/>
        <w:rPr>
          <w:szCs w:val="32"/>
        </w:rPr>
      </w:pPr>
      <w:r>
        <w:rPr>
          <w:rFonts w:eastAsia="黑体"/>
          <w:szCs w:val="32"/>
        </w:rPr>
        <w:t>第二十条【通用规则】</w:t>
      </w:r>
      <w:r>
        <w:rPr>
          <w:szCs w:val="32"/>
        </w:rPr>
        <w:t>规划条件与《国有建设用地使用权出让合同》约定的土地使用条件不一致的，原则上按同时满足的要求执行。“土地使用条件”栏目空白或只表述为“严格按照规划部门要求实施”、无具体指标的，应当核查历史档案后分类处理：</w:t>
      </w:r>
    </w:p>
    <w:p>
      <w:pPr>
        <w:spacing w:line="600" w:lineRule="exact"/>
        <w:ind w:firstLine="643"/>
        <w:jc w:val="left"/>
        <w:rPr>
          <w:szCs w:val="32"/>
        </w:rPr>
      </w:pPr>
      <w:r>
        <w:rPr>
          <w:szCs w:val="32"/>
        </w:rPr>
        <w:t>（一）档案材料可以确认具体土地使用条件的，按其执行；</w:t>
      </w:r>
    </w:p>
    <w:p>
      <w:pPr>
        <w:spacing w:line="600" w:lineRule="exact"/>
        <w:ind w:firstLine="632"/>
        <w:rPr>
          <w:kern w:val="0"/>
          <w:szCs w:val="32"/>
        </w:rPr>
      </w:pPr>
      <w:r>
        <w:rPr>
          <w:kern w:val="0"/>
          <w:szCs w:val="32"/>
        </w:rPr>
        <w:t>（二）档案材料无法确认具体土地使用条件的，结合核查情况，通过集体研究明确解决路径。符合政策要求的，按</w:t>
      </w:r>
      <w:r>
        <w:t>市自然资源局</w:t>
      </w:r>
      <w:r>
        <w:rPr>
          <w:kern w:val="0"/>
          <w:szCs w:val="32"/>
        </w:rPr>
        <w:t>议事规则上报研究解决。</w:t>
      </w:r>
    </w:p>
    <w:p>
      <w:pPr>
        <w:spacing w:line="600" w:lineRule="exact"/>
        <w:ind w:firstLine="632"/>
        <w:rPr>
          <w:szCs w:val="32"/>
        </w:rPr>
      </w:pPr>
      <w:r>
        <w:rPr>
          <w:rFonts w:eastAsia="黑体"/>
          <w:szCs w:val="32"/>
        </w:rPr>
        <w:t>第二十一条【原指导性指标处理】</w:t>
      </w:r>
      <w:r>
        <w:rPr>
          <w:szCs w:val="32"/>
        </w:rPr>
        <w:t>本规定发布前已取得《建设用地规划许可证》且已办理建设工程规划许可（含绿色通道技术审查）的项目，规划条件中“建筑密度”或“建筑高度”等指标标注为“指导性指标”的，可以继续按照原批准方案执行，无需办理规划条件和土地使用条件变更手续、无需评估补缴地价。其中，工业用地的 “建筑密度”指标按本规定第二十</w:t>
      </w:r>
      <w:r>
        <w:rPr>
          <w:rFonts w:hint="eastAsia"/>
          <w:szCs w:val="32"/>
        </w:rPr>
        <w:t>二</w:t>
      </w:r>
      <w:r>
        <w:rPr>
          <w:szCs w:val="32"/>
        </w:rPr>
        <w:t>条执行。</w:t>
      </w:r>
    </w:p>
    <w:p>
      <w:pPr>
        <w:spacing w:line="600" w:lineRule="exact"/>
        <w:ind w:firstLine="632"/>
        <w:rPr>
          <w:szCs w:val="32"/>
        </w:rPr>
      </w:pPr>
      <w:r>
        <w:rPr>
          <w:rFonts w:eastAsia="黑体"/>
          <w:szCs w:val="32"/>
        </w:rPr>
        <w:t>第二十二条【工业指标处理】</w:t>
      </w:r>
      <w:r>
        <w:rPr>
          <w:szCs w:val="32"/>
        </w:rPr>
        <w:t>工业项目规划条件“绿地率”、“建筑密度”等指标与《国有建设用地使用权出让合同》或《工业项目建设用地控制指标》不一致的，可在建设工程规划许可环节统一按照《国有建设用地使用权出让合同》或《工业项目建设用地控制指标》执行，无需调整规划条件。</w:t>
      </w:r>
    </w:p>
    <w:p>
      <w:pPr>
        <w:spacing w:line="600" w:lineRule="exact"/>
        <w:ind w:firstLine="632"/>
        <w:rPr>
          <w:szCs w:val="32"/>
        </w:rPr>
      </w:pPr>
      <w:r>
        <w:rPr>
          <w:rFonts w:eastAsia="黑体"/>
          <w:szCs w:val="32"/>
        </w:rPr>
        <w:t>第二十三条【原指标平衡处理】</w:t>
      </w:r>
      <w:r>
        <w:rPr>
          <w:szCs w:val="32"/>
        </w:rPr>
        <w:t>本规定发布前</w:t>
      </w:r>
      <w:r>
        <w:rPr>
          <w:rFonts w:hint="eastAsia" w:ascii="仿宋_GB2312"/>
          <w:szCs w:val="32"/>
        </w:rPr>
        <w:t>经依法批准</w:t>
      </w:r>
      <w:r>
        <w:rPr>
          <w:szCs w:val="32"/>
        </w:rPr>
        <w:t>规划方案的项目，同一权属主体相邻多宗土地整合为一个项目并按指标统筹平衡方式进行开发建设的，在规划方案不进行颠覆性调整的前提下，可延续项目内统筹平衡的原则处理后续工程规划许可，无需办理土地合宗手续、无需评估补缴地价。</w:t>
      </w:r>
    </w:p>
    <w:p>
      <w:pPr>
        <w:spacing w:line="600" w:lineRule="exact"/>
        <w:ind w:firstLine="632" w:firstLineChars="200"/>
        <w:rPr>
          <w:kern w:val="0"/>
          <w:szCs w:val="32"/>
        </w:rPr>
      </w:pPr>
      <w:r>
        <w:rPr>
          <w:rFonts w:eastAsia="黑体"/>
          <w:szCs w:val="32"/>
        </w:rPr>
        <w:t>第二十四条</w:t>
      </w:r>
      <w:r>
        <w:rPr>
          <w:rFonts w:eastAsia="黑体"/>
          <w:kern w:val="0"/>
          <w:szCs w:val="32"/>
        </w:rPr>
        <w:t>【坐标系转换容差】</w:t>
      </w:r>
      <w:r>
        <w:rPr>
          <w:kern w:val="0"/>
          <w:szCs w:val="32"/>
        </w:rPr>
        <w:t>项目用地红线原则上应与原批准范围一致，因坐标系转换等因素而导致宗地面积3‰以内且面积不超过300平方米的不一致情形可视作误差处理，允许容差审批。</w:t>
      </w:r>
    </w:p>
    <w:p>
      <w:pPr>
        <w:spacing w:line="600" w:lineRule="exact"/>
        <w:ind w:firstLine="632" w:firstLineChars="200"/>
        <w:rPr>
          <w:kern w:val="0"/>
          <w:szCs w:val="32"/>
        </w:rPr>
      </w:pPr>
    </w:p>
    <w:p>
      <w:pPr>
        <w:spacing w:line="600" w:lineRule="exact"/>
        <w:jc w:val="center"/>
        <w:rPr>
          <w:rFonts w:eastAsia="黑体"/>
          <w:szCs w:val="32"/>
        </w:rPr>
      </w:pPr>
      <w:r>
        <w:rPr>
          <w:rFonts w:eastAsia="黑体"/>
          <w:szCs w:val="32"/>
        </w:rPr>
        <w:t>第七章 附则</w:t>
      </w:r>
    </w:p>
    <w:p>
      <w:pPr>
        <w:spacing w:line="600" w:lineRule="exact"/>
        <w:jc w:val="center"/>
        <w:rPr>
          <w:rFonts w:eastAsia="黑体"/>
          <w:szCs w:val="32"/>
        </w:rPr>
      </w:pPr>
    </w:p>
    <w:p>
      <w:pPr>
        <w:spacing w:line="600" w:lineRule="exact"/>
        <w:ind w:firstLine="632" w:firstLineChars="200"/>
        <w:rPr>
          <w:szCs w:val="32"/>
        </w:rPr>
      </w:pPr>
      <w:r>
        <w:rPr>
          <w:rFonts w:eastAsia="黑体"/>
          <w:szCs w:val="32"/>
        </w:rPr>
        <w:t>第二十五条</w:t>
      </w:r>
      <w:r>
        <w:rPr>
          <w:szCs w:val="32"/>
        </w:rPr>
        <w:t xml:space="preserve">  本规定由市自然资源局负责解释。</w:t>
      </w:r>
    </w:p>
    <w:p>
      <w:pPr>
        <w:spacing w:line="600" w:lineRule="exact"/>
        <w:ind w:firstLine="632" w:firstLineChars="200"/>
        <w:rPr>
          <w:szCs w:val="32"/>
        </w:rPr>
      </w:pPr>
      <w:r>
        <w:rPr>
          <w:rFonts w:eastAsia="黑体"/>
          <w:szCs w:val="32"/>
        </w:rPr>
        <w:t>第二十六条</w:t>
      </w:r>
      <w:r>
        <w:rPr>
          <w:szCs w:val="32"/>
        </w:rPr>
        <w:t xml:space="preserve">  “三旧”改造政策有关规定与本规定不一致的，从其规定。本规定施行过程中，如与国家、省新出台的规定不一致的，从其规定。</w:t>
      </w:r>
    </w:p>
    <w:p>
      <w:pPr>
        <w:spacing w:line="600" w:lineRule="exact"/>
        <w:ind w:firstLine="632" w:firstLineChars="200"/>
        <w:rPr>
          <w:szCs w:val="32"/>
        </w:rPr>
      </w:pPr>
      <w:r>
        <w:rPr>
          <w:rFonts w:eastAsia="黑体"/>
          <w:szCs w:val="32"/>
        </w:rPr>
        <w:t xml:space="preserve">第二十七条 </w:t>
      </w:r>
      <w:r>
        <w:rPr>
          <w:sz w:val="31"/>
          <w:szCs w:val="31"/>
        </w:rPr>
        <w:t>集体建设用地规划条件管理参照本规定执行。</w:t>
      </w:r>
      <w:r>
        <w:rPr>
          <w:szCs w:val="32"/>
        </w:rPr>
        <w:t>放权功能区或镇街管理的建设用地参照本规定执行，由功能区管委会或镇街政府负责制定相关审批程序。</w:t>
      </w:r>
    </w:p>
    <w:p>
      <w:pPr>
        <w:spacing w:line="600" w:lineRule="exact"/>
        <w:ind w:firstLine="632" w:firstLineChars="200"/>
        <w:rPr>
          <w:szCs w:val="32"/>
        </w:rPr>
      </w:pPr>
      <w:r>
        <w:rPr>
          <w:rFonts w:eastAsia="黑体"/>
          <w:szCs w:val="32"/>
        </w:rPr>
        <w:t>第二十八条</w:t>
      </w:r>
      <w:r>
        <w:rPr>
          <w:szCs w:val="32"/>
        </w:rPr>
        <w:t xml:space="preserve">  本规定自发布之日起实施，有效期两年。</w:t>
      </w:r>
    </w:p>
    <w:p>
      <w:pPr>
        <w:widowControl/>
        <w:jc w:val="left"/>
        <w:rPr>
          <w:szCs w:val="32"/>
        </w:rPr>
      </w:pPr>
    </w:p>
    <w:p>
      <w:pPr>
        <w:widowControl/>
        <w:jc w:val="left"/>
        <w:rPr>
          <w:szCs w:val="32"/>
        </w:rPr>
      </w:pPr>
    </w:p>
    <w:p>
      <w:pPr>
        <w:widowControl/>
        <w:jc w:val="left"/>
        <w:rPr>
          <w:szCs w:val="32"/>
        </w:rPr>
      </w:pPr>
    </w:p>
    <w:p>
      <w:pPr>
        <w:widowControl/>
        <w:jc w:val="left"/>
        <w:rPr>
          <w:szCs w:val="32"/>
        </w:rPr>
      </w:pPr>
    </w:p>
    <w:p>
      <w:pPr>
        <w:widowControl/>
        <w:ind w:firstLine="316" w:firstLineChars="100"/>
        <w:jc w:val="left"/>
        <w:rPr>
          <w:szCs w:val="32"/>
        </w:rPr>
      </w:pPr>
      <w:r>
        <w:rPr>
          <w:rFonts w:hint="eastAsia"/>
          <w:szCs w:val="32"/>
        </w:rPr>
        <w:t>附件：本规定用词说明</w:t>
      </w:r>
    </w:p>
    <w:p>
      <w:pPr>
        <w:widowControl/>
        <w:jc w:val="left"/>
        <w:rPr>
          <w:szCs w:val="32"/>
        </w:rPr>
      </w:pPr>
      <w:r>
        <w:rPr>
          <w:szCs w:val="32"/>
        </w:rPr>
        <w:br w:type="page"/>
      </w:r>
    </w:p>
    <w:p>
      <w:pPr>
        <w:spacing w:line="560" w:lineRule="exact"/>
        <w:rPr>
          <w:szCs w:val="32"/>
        </w:rPr>
      </w:pPr>
      <w:r>
        <w:rPr>
          <w:szCs w:val="32"/>
        </w:rPr>
        <w:t>附件</w:t>
      </w:r>
      <w:r>
        <w:rPr>
          <w:rFonts w:hint="eastAsia"/>
          <w:szCs w:val="32"/>
        </w:rPr>
        <w:t>：</w:t>
      </w:r>
    </w:p>
    <w:p>
      <w:pPr>
        <w:spacing w:line="560" w:lineRule="exact"/>
        <w:rPr>
          <w:szCs w:val="32"/>
        </w:rPr>
      </w:pPr>
    </w:p>
    <w:p>
      <w:pPr>
        <w:spacing w:line="560" w:lineRule="exact"/>
        <w:jc w:val="center"/>
        <w:rPr>
          <w:rFonts w:eastAsia="黑体"/>
          <w:szCs w:val="32"/>
        </w:rPr>
      </w:pPr>
      <w:r>
        <w:rPr>
          <w:rFonts w:eastAsia="黑体"/>
          <w:szCs w:val="32"/>
        </w:rPr>
        <w:t>本规定用词说明</w:t>
      </w:r>
    </w:p>
    <w:p>
      <w:pPr>
        <w:spacing w:line="560" w:lineRule="exact"/>
        <w:rPr>
          <w:szCs w:val="32"/>
        </w:rPr>
      </w:pPr>
    </w:p>
    <w:p>
      <w:pPr>
        <w:spacing w:line="560" w:lineRule="exact"/>
        <w:ind w:firstLine="708" w:firstLineChars="224"/>
        <w:rPr>
          <w:rFonts w:eastAsia="楷体_GB2312"/>
          <w:b/>
          <w:szCs w:val="32"/>
        </w:rPr>
      </w:pPr>
      <w:r>
        <w:rPr>
          <w:rFonts w:eastAsia="楷体_GB2312"/>
          <w:b/>
          <w:szCs w:val="32"/>
        </w:rPr>
        <w:t>一、经营性项目</w:t>
      </w:r>
    </w:p>
    <w:p>
      <w:pPr>
        <w:spacing w:line="560" w:lineRule="exact"/>
        <w:ind w:firstLine="708" w:firstLineChars="224"/>
        <w:rPr>
          <w:szCs w:val="32"/>
        </w:rPr>
      </w:pPr>
      <w:r>
        <w:rPr>
          <w:szCs w:val="32"/>
        </w:rPr>
        <w:t>指在居住用地（R）（不包括公共服务设施用地、中小学幼儿园用地R6、保障性住房）、商业金融业用地（C2）及含上述用地的混合用地上开发建设的项目、新型产业项目（M0）、产业转型升级基地项目和企业孵化器项目、可分割销售的科研设计项目（C65）</w:t>
      </w:r>
      <w:r>
        <w:rPr>
          <w:rFonts w:hint="eastAsia"/>
          <w:szCs w:val="32"/>
        </w:rPr>
        <w:t>。</w:t>
      </w:r>
      <w:r>
        <w:rPr>
          <w:szCs w:val="32"/>
        </w:rPr>
        <w:t>文化娱乐用地（C3）上开发建设的旅游、娱乐项目以及市政公用设施用地（U）上开发建设的零售加油、加气、电信、邮政等营业网点项目参照“经营性项目”处理。</w:t>
      </w:r>
    </w:p>
    <w:p>
      <w:pPr>
        <w:spacing w:line="560" w:lineRule="exact"/>
        <w:ind w:firstLine="708" w:firstLineChars="224"/>
        <w:rPr>
          <w:rFonts w:eastAsia="楷体_GB2312"/>
          <w:b/>
          <w:szCs w:val="32"/>
        </w:rPr>
      </w:pPr>
      <w:r>
        <w:rPr>
          <w:rFonts w:eastAsia="楷体_GB2312"/>
          <w:b/>
          <w:szCs w:val="32"/>
        </w:rPr>
        <w:t>二、产业项目</w:t>
      </w:r>
    </w:p>
    <w:p>
      <w:pPr>
        <w:spacing w:line="560" w:lineRule="exact"/>
        <w:ind w:firstLine="708" w:firstLineChars="224"/>
        <w:rPr>
          <w:szCs w:val="32"/>
        </w:rPr>
      </w:pPr>
      <w:r>
        <w:rPr>
          <w:szCs w:val="32"/>
        </w:rPr>
        <w:t>指在工业用地（M）、仓储用地（W）上开发建设的项目（不包括产业转型升级基地项目和企业孵化器项目）。</w:t>
      </w:r>
    </w:p>
    <w:p>
      <w:pPr>
        <w:spacing w:line="560" w:lineRule="exact"/>
        <w:ind w:firstLine="708" w:firstLineChars="224"/>
        <w:rPr>
          <w:rFonts w:eastAsia="楷体_GB2312"/>
          <w:b/>
          <w:szCs w:val="32"/>
        </w:rPr>
      </w:pPr>
      <w:r>
        <w:rPr>
          <w:rFonts w:eastAsia="楷体_GB2312"/>
          <w:b/>
          <w:szCs w:val="32"/>
        </w:rPr>
        <w:t>三、公益项目</w:t>
      </w:r>
    </w:p>
    <w:p>
      <w:pPr>
        <w:spacing w:line="560" w:lineRule="exact"/>
        <w:ind w:firstLine="708" w:firstLineChars="224"/>
        <w:rPr>
          <w:szCs w:val="32"/>
        </w:rPr>
      </w:pPr>
      <w:r>
        <w:rPr>
          <w:szCs w:val="32"/>
        </w:rPr>
        <w:t>指在公共服务设施用地</w:t>
      </w:r>
      <w:r>
        <w:rPr>
          <w:rFonts w:hint="eastAsia"/>
          <w:szCs w:val="32"/>
        </w:rPr>
        <w:t>（R12、R22、R32、R42）、</w:t>
      </w:r>
      <w:r>
        <w:rPr>
          <w:szCs w:val="32"/>
        </w:rPr>
        <w:t>中小学幼儿园用地（R6）、政府机关办公用地（C11）、广播电视用地（C33）、图书展览用地（C34）、游乐用地（C36）中的文化宫、青少年宫、老年活动中心等用地、体育用地（C4）、医疗卫生用地（C5）、教育科研设计用地（C6）[不包括可分割销售的科研设计用地（C65）和企业孵化器项目]、文物古迹用地（C7）、口岸监管用地（C8）、其它公共设施用地（C9）、道路广场用地（S）、对外交通用地（T）、绿地（G）、市政公用设施用地（U）（不包括零售加油、加气、电信、邮政等营业网点用地）及特殊用地（D）上开发建设的项目</w:t>
      </w:r>
      <w:r>
        <w:rPr>
          <w:rFonts w:hint="eastAsia"/>
          <w:szCs w:val="32"/>
        </w:rPr>
        <w:t>、</w:t>
      </w:r>
      <w:r>
        <w:rPr>
          <w:szCs w:val="32"/>
        </w:rPr>
        <w:t>保障性住房</w:t>
      </w:r>
      <w:r>
        <w:rPr>
          <w:rFonts w:hint="eastAsia"/>
          <w:szCs w:val="32"/>
        </w:rPr>
        <w:t>。其他未提及的项目类型参照“公益项目”执行。</w:t>
      </w:r>
    </w:p>
    <w:p>
      <w:pPr>
        <w:spacing w:line="560" w:lineRule="exact"/>
        <w:ind w:firstLine="708" w:firstLineChars="224"/>
        <w:rPr>
          <w:rFonts w:eastAsia="楷体_GB2312"/>
          <w:b/>
          <w:szCs w:val="32"/>
        </w:rPr>
      </w:pPr>
      <w:r>
        <w:rPr>
          <w:rFonts w:eastAsia="楷体_GB2312"/>
          <w:b/>
          <w:szCs w:val="32"/>
        </w:rPr>
        <w:t>四、景观风貌要求</w:t>
      </w:r>
    </w:p>
    <w:p>
      <w:pPr>
        <w:spacing w:line="600" w:lineRule="exact"/>
        <w:ind w:firstLine="632" w:firstLineChars="200"/>
        <w:rPr>
          <w:szCs w:val="32"/>
        </w:rPr>
      </w:pPr>
      <w:r>
        <w:rPr>
          <w:szCs w:val="32"/>
        </w:rPr>
        <w:t>景观风貌要求包括以下三类要素：一是公共空间设计要求，包括：塔楼控制线、街道界面、公共开敞空间、视线通廊、公共通道等；二是建筑形态和风貌设计要求，包括：建筑面宽及面宽比、建筑立面风格、建筑屋顶形式、塔楼天际线、建筑材质和颜色等；三是景观设计要求，包括：多媒体幕墙、户外广告、招牌、灯具装饰、夜景照明、植物配置、雕塑与环境小品、铺地材质和颜色等。</w:t>
      </w:r>
    </w:p>
    <w:p>
      <w:pPr>
        <w:spacing w:line="600" w:lineRule="exact"/>
        <w:ind w:firstLine="632" w:firstLineChars="200"/>
        <w:rPr>
          <w:rFonts w:eastAsia="楷体_GB2312"/>
          <w:b/>
          <w:szCs w:val="32"/>
        </w:rPr>
      </w:pPr>
      <w:r>
        <w:rPr>
          <w:rFonts w:eastAsia="楷体_GB2312"/>
          <w:b/>
          <w:szCs w:val="32"/>
        </w:rPr>
        <w:t>五、其他职能部门提出的设计要求</w:t>
      </w:r>
    </w:p>
    <w:p>
      <w:pPr>
        <w:spacing w:line="600" w:lineRule="exact"/>
        <w:ind w:firstLine="612" w:firstLineChars="200"/>
        <w:rPr>
          <w:szCs w:val="32"/>
        </w:rPr>
      </w:pPr>
      <w:r>
        <w:rPr>
          <w:sz w:val="31"/>
          <w:szCs w:val="31"/>
        </w:rPr>
        <w:t>一般包括以下内容：交通评价报告、海绵城市、绿色建筑、装配式建筑、通信基础设施、住宅区养老设施、充换电设施、给排水设施等</w:t>
      </w:r>
      <w:r>
        <w:rPr>
          <w:szCs w:val="32"/>
        </w:rPr>
        <w:t>。</w:t>
      </w:r>
    </w:p>
    <w:p>
      <w:pPr>
        <w:spacing w:line="560" w:lineRule="exact"/>
        <w:ind w:firstLine="708" w:firstLineChars="224"/>
        <w:rPr>
          <w:rFonts w:eastAsia="楷体_GB2312"/>
          <w:b/>
          <w:szCs w:val="32"/>
        </w:rPr>
      </w:pPr>
      <w:r>
        <w:rPr>
          <w:rFonts w:hint="eastAsia" w:eastAsia="楷体_GB2312"/>
          <w:b/>
          <w:szCs w:val="32"/>
        </w:rPr>
        <w:t>六</w:t>
      </w:r>
      <w:r>
        <w:rPr>
          <w:rFonts w:eastAsia="楷体_GB2312"/>
          <w:b/>
          <w:szCs w:val="32"/>
        </w:rPr>
        <w:t>、规定性指导条款</w:t>
      </w:r>
    </w:p>
    <w:p>
      <w:pPr>
        <w:spacing w:line="560" w:lineRule="exact"/>
        <w:ind w:firstLine="708" w:firstLineChars="224"/>
        <w:rPr>
          <w:szCs w:val="32"/>
        </w:rPr>
      </w:pPr>
      <w:r>
        <w:rPr>
          <w:kern w:val="0"/>
          <w:szCs w:val="32"/>
        </w:rPr>
        <w:t>指根据</w:t>
      </w:r>
      <w:r>
        <w:rPr>
          <w:szCs w:val="32"/>
        </w:rPr>
        <w:t>详细规划、专项规划、城市设计（含地块包装）或专项研究落实在规划条件中，采用“刚性”、“应”、“不应”、“不得”（或同等意思）表述的</w:t>
      </w:r>
      <w:r>
        <w:t>三级管控内容</w:t>
      </w:r>
      <w:r>
        <w:rPr>
          <w:szCs w:val="32"/>
        </w:rPr>
        <w:t>。</w:t>
      </w:r>
    </w:p>
    <w:p>
      <w:pPr>
        <w:spacing w:line="560" w:lineRule="exact"/>
        <w:ind w:firstLine="708" w:firstLineChars="224"/>
        <w:rPr>
          <w:rFonts w:eastAsia="楷体_GB2312"/>
          <w:b/>
          <w:szCs w:val="32"/>
        </w:rPr>
      </w:pPr>
      <w:r>
        <w:rPr>
          <w:rFonts w:hint="eastAsia" w:eastAsia="楷体_GB2312"/>
          <w:b/>
          <w:szCs w:val="32"/>
        </w:rPr>
        <w:t>七</w:t>
      </w:r>
      <w:r>
        <w:rPr>
          <w:rFonts w:eastAsia="楷体_GB2312"/>
          <w:b/>
          <w:szCs w:val="32"/>
        </w:rPr>
        <w:t>、建议性指导条款</w:t>
      </w:r>
    </w:p>
    <w:p>
      <w:pPr>
        <w:spacing w:line="560" w:lineRule="exact"/>
        <w:ind w:firstLine="708" w:firstLineChars="224"/>
        <w:rPr>
          <w:szCs w:val="32"/>
        </w:rPr>
      </w:pPr>
      <w:r>
        <w:rPr>
          <w:kern w:val="0"/>
          <w:szCs w:val="32"/>
        </w:rPr>
        <w:t>指根据</w:t>
      </w:r>
      <w:r>
        <w:rPr>
          <w:szCs w:val="32"/>
        </w:rPr>
        <w:t>详细规划、专项规划、城市设计（含地块包装）或专项研究落实在规划条件中，采用“建议”、“弹性”、 “宜”（或同等意思）等表述的</w:t>
      </w:r>
      <w:r>
        <w:t>三级管控内容</w:t>
      </w:r>
      <w:r>
        <w:rPr>
          <w:rFonts w:hint="eastAsia"/>
          <w:szCs w:val="32"/>
        </w:rPr>
        <w:t>；</w:t>
      </w:r>
      <w:r>
        <w:rPr>
          <w:szCs w:val="32"/>
        </w:rPr>
        <w:t>或者上述上层次规划</w:t>
      </w:r>
      <w:r>
        <w:rPr>
          <w:rFonts w:hint="eastAsia"/>
          <w:szCs w:val="32"/>
        </w:rPr>
        <w:t>没有</w:t>
      </w:r>
      <w:r>
        <w:rPr>
          <w:szCs w:val="32"/>
        </w:rPr>
        <w:t>要求</w:t>
      </w:r>
      <w:r>
        <w:rPr>
          <w:rFonts w:hint="eastAsia"/>
          <w:szCs w:val="32"/>
        </w:rPr>
        <w:t>，</w:t>
      </w:r>
      <w:r>
        <w:rPr>
          <w:szCs w:val="32"/>
        </w:rPr>
        <w:t>直接在规划条件中约定的</w:t>
      </w:r>
      <w:r>
        <w:t>三级管控内容</w:t>
      </w:r>
      <w:r>
        <w:rPr>
          <w:rFonts w:hint="eastAsia"/>
        </w:rPr>
        <w:t>。</w:t>
      </w:r>
    </w:p>
    <w:p>
      <w:pPr>
        <w:spacing w:line="560" w:lineRule="exact"/>
        <w:ind w:firstLine="708" w:firstLineChars="224"/>
        <w:rPr>
          <w:rFonts w:eastAsia="楷体_GB2312"/>
          <w:b/>
          <w:szCs w:val="32"/>
        </w:rPr>
      </w:pPr>
      <w:r>
        <w:rPr>
          <w:rFonts w:hint="eastAsia" w:eastAsia="楷体_GB2312"/>
          <w:b/>
          <w:szCs w:val="32"/>
        </w:rPr>
        <w:t>八</w:t>
      </w:r>
      <w:r>
        <w:rPr>
          <w:rFonts w:eastAsia="楷体_GB2312"/>
          <w:b/>
          <w:szCs w:val="32"/>
        </w:rPr>
        <w:t>、参考性信息</w:t>
      </w:r>
    </w:p>
    <w:p>
      <w:pPr>
        <w:spacing w:line="560" w:lineRule="exact"/>
        <w:ind w:firstLine="708" w:firstLineChars="224"/>
        <w:rPr>
          <w:rFonts w:eastAsia="楷体_GB2312"/>
          <w:b/>
          <w:szCs w:val="32"/>
        </w:rPr>
      </w:pPr>
      <w:r>
        <w:rPr>
          <w:szCs w:val="32"/>
        </w:rPr>
        <w:t>指规划条件附图中用地红线外的外部环境信息，一般包括道路名称、宽度及控制点竖向标高、河道、绿化带、周边地形地貌等。</w:t>
      </w:r>
    </w:p>
    <w:p>
      <w:pPr>
        <w:spacing w:line="560" w:lineRule="exact"/>
        <w:ind w:firstLine="708" w:firstLineChars="224"/>
        <w:rPr>
          <w:rFonts w:eastAsia="楷体_GB2312"/>
          <w:b/>
          <w:szCs w:val="32"/>
        </w:rPr>
      </w:pPr>
      <w:r>
        <w:rPr>
          <w:rFonts w:hint="eastAsia" w:eastAsia="楷体_GB2312"/>
          <w:b/>
          <w:szCs w:val="32"/>
        </w:rPr>
        <w:t>九</w:t>
      </w:r>
      <w:r>
        <w:rPr>
          <w:rFonts w:eastAsia="楷体_GB2312"/>
          <w:b/>
          <w:szCs w:val="32"/>
        </w:rPr>
        <w:t>、正向调整</w:t>
      </w:r>
    </w:p>
    <w:p>
      <w:pPr>
        <w:spacing w:line="600" w:lineRule="exact"/>
        <w:ind w:firstLine="632" w:firstLineChars="200"/>
        <w:rPr>
          <w:szCs w:val="32"/>
        </w:rPr>
      </w:pPr>
      <w:r>
        <w:rPr>
          <w:szCs w:val="32"/>
        </w:rPr>
        <w:t>一般包括以下情况：有利土地合理利用、促进产业发展和转型升级、完善民生配套设施、提升城乡环境品质等方面，且调整内容不得损害社会公共利益。</w:t>
      </w:r>
    </w:p>
    <w:sectPr>
      <w:footerReference r:id="rId3" w:type="default"/>
      <w:footerReference r:id="rId4" w:type="even"/>
      <w:pgSz w:w="11906" w:h="16838"/>
      <w:pgMar w:top="2098" w:right="1474" w:bottom="1985" w:left="1588" w:header="851" w:footer="1304" w:gutter="0"/>
      <w:cols w:space="720" w:num="1"/>
      <w:titlePg/>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rPr>
        <w:rFonts w:hint="eastAsia"/>
      </w:rPr>
      <w:t>—</w:t>
    </w:r>
    <w:r>
      <w:fldChar w:fldCharType="begin"/>
    </w:r>
    <w:r>
      <w:rPr>
        <w:rStyle w:val="21"/>
      </w:rPr>
      <w:instrText xml:space="preserve">PAGE  </w:instrText>
    </w:r>
    <w:r>
      <w:fldChar w:fldCharType="separate"/>
    </w:r>
    <w:r>
      <w:rPr>
        <w:rStyle w:val="21"/>
      </w:rPr>
      <w:t>5</w:t>
    </w:r>
    <w:r>
      <w:fldChar w:fldCharType="end"/>
    </w:r>
    <w:r>
      <w:rPr>
        <w:rFonts w:hint="eastAsia"/>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notBeside" w:vAnchor="page" w:hAnchor="page" w:x="1479" w:y="15598"/>
      <w:rPr>
        <w:rStyle w:val="21"/>
      </w:rPr>
    </w:pPr>
    <w:r>
      <w:rPr>
        <w:rStyle w:val="21"/>
        <w:rFonts w:hint="eastAsia"/>
      </w:rPr>
      <w:t>—</w:t>
    </w:r>
    <w:r>
      <w:fldChar w:fldCharType="begin"/>
    </w:r>
    <w:r>
      <w:rPr>
        <w:rStyle w:val="21"/>
      </w:rPr>
      <w:instrText xml:space="preserve">PAGE  </w:instrText>
    </w:r>
    <w:r>
      <w:fldChar w:fldCharType="separate"/>
    </w:r>
    <w:r>
      <w:rPr>
        <w:rStyle w:val="21"/>
      </w:rPr>
      <w:t>8</w:t>
    </w:r>
    <w:r>
      <w:fldChar w:fldCharType="end"/>
    </w:r>
    <w:r>
      <w:rPr>
        <w:rStyle w:val="21"/>
        <w:rFonts w:hint="eastAsia"/>
      </w:rPr>
      <w:t>—</w:t>
    </w:r>
  </w:p>
  <w:p>
    <w:pPr>
      <w:pStyle w:val="1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pStyle w:val="3"/>
      <w:lvlText w:val="%2"/>
      <w:legacy w:legacy="1" w:legacySpace="0" w:legacyIndent="0"/>
      <w:lvlJc w:val="left"/>
      <w:rPr>
        <w:rFonts w:hint="eastAsia" w:ascii="宋体" w:eastAsia="宋体"/>
      </w:rPr>
    </w:lvl>
    <w:lvl w:ilvl="2" w:tentative="0">
      <w:start w:val="0"/>
      <w:numFmt w:val="decimal"/>
      <w:pStyle w:val="4"/>
      <w:lvlText w:val="%3"/>
      <w:legacy w:legacy="1" w:legacySpace="0" w:legacyIndent="0"/>
      <w:lvlJc w:val="left"/>
      <w:rPr>
        <w:rFonts w:hint="eastAsia" w:ascii="宋体" w:eastAsia="宋体"/>
      </w:rPr>
    </w:lvl>
    <w:lvl w:ilvl="3" w:tentative="0">
      <w:start w:val="0"/>
      <w:numFmt w:val="decimal"/>
      <w:pStyle w:val="5"/>
      <w:lvlText w:val="%4"/>
      <w:legacy w:legacy="1" w:legacySpace="0" w:legacyIndent="0"/>
      <w:lvlJc w:val="left"/>
      <w:rPr>
        <w:rFonts w:hint="eastAsia" w:ascii="宋体" w:eastAsia="宋体"/>
      </w:rPr>
    </w:lvl>
    <w:lvl w:ilvl="4" w:tentative="0">
      <w:start w:val="0"/>
      <w:numFmt w:val="decimal"/>
      <w:pStyle w:val="6"/>
      <w:lvlText w:val="%5"/>
      <w:legacy w:legacy="1" w:legacySpace="0" w:legacyIndent="0"/>
      <w:lvlJc w:val="left"/>
      <w:rPr>
        <w:rFonts w:hint="eastAsia" w:ascii="宋体" w:eastAsia="宋体"/>
      </w:rPr>
    </w:lvl>
    <w:lvl w:ilvl="5" w:tentative="0">
      <w:start w:val="0"/>
      <w:numFmt w:val="decimal"/>
      <w:pStyle w:val="7"/>
      <w:lvlText w:val="%6"/>
      <w:legacy w:legacy="1" w:legacySpace="0" w:legacyIndent="0"/>
      <w:lvlJc w:val="left"/>
      <w:rPr>
        <w:rFonts w:hint="eastAsia" w:ascii="宋体" w:eastAsia="宋体"/>
      </w:rPr>
    </w:lvl>
    <w:lvl w:ilvl="6" w:tentative="0">
      <w:start w:val="0"/>
      <w:numFmt w:val="decimal"/>
      <w:pStyle w:val="8"/>
      <w:lvlText w:val="%7"/>
      <w:legacy w:legacy="1" w:legacySpace="0" w:legacyIndent="0"/>
      <w:lvlJc w:val="left"/>
      <w:rPr>
        <w:rFonts w:hint="eastAsia" w:ascii="宋体" w:eastAsia="宋体"/>
      </w:rPr>
    </w:lvl>
    <w:lvl w:ilvl="7" w:tentative="0">
      <w:start w:val="0"/>
      <w:numFmt w:val="decimal"/>
      <w:pStyle w:val="9"/>
      <w:lvlText w:val="%8"/>
      <w:legacy w:legacy="1" w:legacySpace="0" w:legacyIndent="0"/>
      <w:lvlJc w:val="left"/>
      <w:rPr>
        <w:rFonts w:hint="eastAsia" w:ascii="宋体" w:eastAsia="宋体"/>
      </w:rPr>
    </w:lvl>
    <w:lvl w:ilvl="8" w:tentative="0">
      <w:start w:val="0"/>
      <w:numFmt w:val="decimal"/>
      <w:pStyle w:val="10"/>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8"/>
  <w:drawingGridVerticalSpacing w:val="280"/>
  <w:displayHorizont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leCode" w:val="东自然资函〔2020〕号"/>
    <w:docVar w:name="FlCopySend" w:val=" "/>
    <w:docVar w:name="FlMainSend" w:val="各镇人民政府（街道办事处），市府直属各单位"/>
    <w:docVar w:name="FlPrintTime" w:val=" "/>
    <w:docVar w:name="FlSendTime" w:val=" "/>
    <w:docVar w:name="FlSigner" w:val="签发人："/>
  </w:docVars>
  <w:rsids>
    <w:rsidRoot w:val="003315DE"/>
    <w:rsid w:val="000006A9"/>
    <w:rsid w:val="00001E88"/>
    <w:rsid w:val="0000283A"/>
    <w:rsid w:val="0000350E"/>
    <w:rsid w:val="00003DD5"/>
    <w:rsid w:val="000044C4"/>
    <w:rsid w:val="00004BE1"/>
    <w:rsid w:val="00004FC0"/>
    <w:rsid w:val="00005502"/>
    <w:rsid w:val="00005A28"/>
    <w:rsid w:val="00005EA2"/>
    <w:rsid w:val="0000624C"/>
    <w:rsid w:val="00006632"/>
    <w:rsid w:val="0000678A"/>
    <w:rsid w:val="00006859"/>
    <w:rsid w:val="00006EE6"/>
    <w:rsid w:val="0000704A"/>
    <w:rsid w:val="000104D7"/>
    <w:rsid w:val="00010C2A"/>
    <w:rsid w:val="00011093"/>
    <w:rsid w:val="0001137D"/>
    <w:rsid w:val="0001195F"/>
    <w:rsid w:val="00011E83"/>
    <w:rsid w:val="00011EE4"/>
    <w:rsid w:val="00012E47"/>
    <w:rsid w:val="00013016"/>
    <w:rsid w:val="0001382A"/>
    <w:rsid w:val="00013EF6"/>
    <w:rsid w:val="00014219"/>
    <w:rsid w:val="00014B62"/>
    <w:rsid w:val="00014E1A"/>
    <w:rsid w:val="00015C48"/>
    <w:rsid w:val="00015D33"/>
    <w:rsid w:val="00016138"/>
    <w:rsid w:val="00016729"/>
    <w:rsid w:val="00017A81"/>
    <w:rsid w:val="000205BC"/>
    <w:rsid w:val="00021FA5"/>
    <w:rsid w:val="00022F04"/>
    <w:rsid w:val="000236BB"/>
    <w:rsid w:val="0002372C"/>
    <w:rsid w:val="00024019"/>
    <w:rsid w:val="0002441F"/>
    <w:rsid w:val="000253CB"/>
    <w:rsid w:val="00025A62"/>
    <w:rsid w:val="00026384"/>
    <w:rsid w:val="00026515"/>
    <w:rsid w:val="0002653D"/>
    <w:rsid w:val="0002714B"/>
    <w:rsid w:val="0002749F"/>
    <w:rsid w:val="00030E4D"/>
    <w:rsid w:val="00032114"/>
    <w:rsid w:val="00032809"/>
    <w:rsid w:val="0003286D"/>
    <w:rsid w:val="00032B01"/>
    <w:rsid w:val="00032E5F"/>
    <w:rsid w:val="00034A3B"/>
    <w:rsid w:val="00034A58"/>
    <w:rsid w:val="00034A7C"/>
    <w:rsid w:val="00034D8C"/>
    <w:rsid w:val="00035F14"/>
    <w:rsid w:val="00036F73"/>
    <w:rsid w:val="00036F7C"/>
    <w:rsid w:val="000403B1"/>
    <w:rsid w:val="00040613"/>
    <w:rsid w:val="000414F8"/>
    <w:rsid w:val="00041989"/>
    <w:rsid w:val="00041F62"/>
    <w:rsid w:val="0004253F"/>
    <w:rsid w:val="0004255A"/>
    <w:rsid w:val="0004274C"/>
    <w:rsid w:val="00042786"/>
    <w:rsid w:val="00042D56"/>
    <w:rsid w:val="00043539"/>
    <w:rsid w:val="00043D2D"/>
    <w:rsid w:val="0004440B"/>
    <w:rsid w:val="0004490C"/>
    <w:rsid w:val="00044B63"/>
    <w:rsid w:val="00045AAC"/>
    <w:rsid w:val="00045F8E"/>
    <w:rsid w:val="00046D20"/>
    <w:rsid w:val="000474C9"/>
    <w:rsid w:val="00051710"/>
    <w:rsid w:val="00051D6E"/>
    <w:rsid w:val="00052369"/>
    <w:rsid w:val="000531DE"/>
    <w:rsid w:val="000532CE"/>
    <w:rsid w:val="00056E11"/>
    <w:rsid w:val="000608E2"/>
    <w:rsid w:val="00061690"/>
    <w:rsid w:val="00062DB3"/>
    <w:rsid w:val="00063B4B"/>
    <w:rsid w:val="00064C60"/>
    <w:rsid w:val="00064CDE"/>
    <w:rsid w:val="000659CC"/>
    <w:rsid w:val="000661A7"/>
    <w:rsid w:val="00066651"/>
    <w:rsid w:val="00066ED7"/>
    <w:rsid w:val="00067E40"/>
    <w:rsid w:val="00070601"/>
    <w:rsid w:val="00070F11"/>
    <w:rsid w:val="0007168C"/>
    <w:rsid w:val="00073B73"/>
    <w:rsid w:val="0007493A"/>
    <w:rsid w:val="00074D06"/>
    <w:rsid w:val="00074F6D"/>
    <w:rsid w:val="000754D4"/>
    <w:rsid w:val="00076440"/>
    <w:rsid w:val="000768A4"/>
    <w:rsid w:val="00076FE2"/>
    <w:rsid w:val="000770B0"/>
    <w:rsid w:val="000778D4"/>
    <w:rsid w:val="000804AA"/>
    <w:rsid w:val="00081C17"/>
    <w:rsid w:val="00083814"/>
    <w:rsid w:val="0008423E"/>
    <w:rsid w:val="000847B8"/>
    <w:rsid w:val="00084B1F"/>
    <w:rsid w:val="00085428"/>
    <w:rsid w:val="000909D0"/>
    <w:rsid w:val="00091953"/>
    <w:rsid w:val="00092565"/>
    <w:rsid w:val="00092BA2"/>
    <w:rsid w:val="00093CB3"/>
    <w:rsid w:val="00093E56"/>
    <w:rsid w:val="00094215"/>
    <w:rsid w:val="0009481F"/>
    <w:rsid w:val="00094CDB"/>
    <w:rsid w:val="000953D6"/>
    <w:rsid w:val="00095466"/>
    <w:rsid w:val="0009619A"/>
    <w:rsid w:val="00096358"/>
    <w:rsid w:val="0009682E"/>
    <w:rsid w:val="00096D97"/>
    <w:rsid w:val="000A04FF"/>
    <w:rsid w:val="000A128A"/>
    <w:rsid w:val="000A150E"/>
    <w:rsid w:val="000A2A43"/>
    <w:rsid w:val="000A39D9"/>
    <w:rsid w:val="000A3AE4"/>
    <w:rsid w:val="000A3C08"/>
    <w:rsid w:val="000A45C7"/>
    <w:rsid w:val="000A49D1"/>
    <w:rsid w:val="000A4CE5"/>
    <w:rsid w:val="000A57A5"/>
    <w:rsid w:val="000A58FC"/>
    <w:rsid w:val="000A5C91"/>
    <w:rsid w:val="000A5E3E"/>
    <w:rsid w:val="000A6449"/>
    <w:rsid w:val="000A6EA3"/>
    <w:rsid w:val="000A6F4F"/>
    <w:rsid w:val="000A71C9"/>
    <w:rsid w:val="000A77A3"/>
    <w:rsid w:val="000B0386"/>
    <w:rsid w:val="000B04B6"/>
    <w:rsid w:val="000B08B3"/>
    <w:rsid w:val="000B178B"/>
    <w:rsid w:val="000B2314"/>
    <w:rsid w:val="000B3646"/>
    <w:rsid w:val="000B5C17"/>
    <w:rsid w:val="000B60F1"/>
    <w:rsid w:val="000B6512"/>
    <w:rsid w:val="000C16F1"/>
    <w:rsid w:val="000C1BCA"/>
    <w:rsid w:val="000C27C3"/>
    <w:rsid w:val="000C2A48"/>
    <w:rsid w:val="000C41E4"/>
    <w:rsid w:val="000C4746"/>
    <w:rsid w:val="000C4A0B"/>
    <w:rsid w:val="000C4CF3"/>
    <w:rsid w:val="000C4F71"/>
    <w:rsid w:val="000C60A7"/>
    <w:rsid w:val="000C6503"/>
    <w:rsid w:val="000C695A"/>
    <w:rsid w:val="000C6E70"/>
    <w:rsid w:val="000C6EB4"/>
    <w:rsid w:val="000C753B"/>
    <w:rsid w:val="000D0A03"/>
    <w:rsid w:val="000D1DE1"/>
    <w:rsid w:val="000D1E8B"/>
    <w:rsid w:val="000D2324"/>
    <w:rsid w:val="000D2D1F"/>
    <w:rsid w:val="000D31F2"/>
    <w:rsid w:val="000D40D2"/>
    <w:rsid w:val="000D4536"/>
    <w:rsid w:val="000D45FC"/>
    <w:rsid w:val="000D5291"/>
    <w:rsid w:val="000D59D2"/>
    <w:rsid w:val="000D6C3D"/>
    <w:rsid w:val="000E05A8"/>
    <w:rsid w:val="000E0CD7"/>
    <w:rsid w:val="000E0E7D"/>
    <w:rsid w:val="000E1AA0"/>
    <w:rsid w:val="000E1AF2"/>
    <w:rsid w:val="000E2395"/>
    <w:rsid w:val="000E2F36"/>
    <w:rsid w:val="000E4C39"/>
    <w:rsid w:val="000E4E9D"/>
    <w:rsid w:val="000E4EE3"/>
    <w:rsid w:val="000E52A1"/>
    <w:rsid w:val="000E5ACA"/>
    <w:rsid w:val="000E6261"/>
    <w:rsid w:val="000E62F3"/>
    <w:rsid w:val="000E6583"/>
    <w:rsid w:val="000E6933"/>
    <w:rsid w:val="000E6FD0"/>
    <w:rsid w:val="000E7824"/>
    <w:rsid w:val="000F06DB"/>
    <w:rsid w:val="000F0819"/>
    <w:rsid w:val="000F0866"/>
    <w:rsid w:val="000F0980"/>
    <w:rsid w:val="000F0A65"/>
    <w:rsid w:val="000F12F2"/>
    <w:rsid w:val="000F2073"/>
    <w:rsid w:val="000F2422"/>
    <w:rsid w:val="000F2A08"/>
    <w:rsid w:val="000F2CFA"/>
    <w:rsid w:val="000F36CA"/>
    <w:rsid w:val="000F4146"/>
    <w:rsid w:val="000F4316"/>
    <w:rsid w:val="000F4796"/>
    <w:rsid w:val="000F4924"/>
    <w:rsid w:val="000F4A59"/>
    <w:rsid w:val="000F4D18"/>
    <w:rsid w:val="000F571A"/>
    <w:rsid w:val="000F6044"/>
    <w:rsid w:val="000F7F8D"/>
    <w:rsid w:val="00100195"/>
    <w:rsid w:val="001017BA"/>
    <w:rsid w:val="00101DA8"/>
    <w:rsid w:val="00101E09"/>
    <w:rsid w:val="00101E97"/>
    <w:rsid w:val="00102433"/>
    <w:rsid w:val="001029F6"/>
    <w:rsid w:val="001035D6"/>
    <w:rsid w:val="00103A2D"/>
    <w:rsid w:val="00103BC2"/>
    <w:rsid w:val="00103FEE"/>
    <w:rsid w:val="001047EE"/>
    <w:rsid w:val="00104A82"/>
    <w:rsid w:val="00104CE0"/>
    <w:rsid w:val="00105C65"/>
    <w:rsid w:val="00107567"/>
    <w:rsid w:val="0010799B"/>
    <w:rsid w:val="00107BB5"/>
    <w:rsid w:val="00110DA3"/>
    <w:rsid w:val="00111184"/>
    <w:rsid w:val="00112135"/>
    <w:rsid w:val="00112F33"/>
    <w:rsid w:val="00113B78"/>
    <w:rsid w:val="00114DA8"/>
    <w:rsid w:val="00115359"/>
    <w:rsid w:val="0011569B"/>
    <w:rsid w:val="00116BF7"/>
    <w:rsid w:val="001172F2"/>
    <w:rsid w:val="00117AFB"/>
    <w:rsid w:val="001210C3"/>
    <w:rsid w:val="00121DBB"/>
    <w:rsid w:val="00122366"/>
    <w:rsid w:val="00122383"/>
    <w:rsid w:val="00122548"/>
    <w:rsid w:val="00124852"/>
    <w:rsid w:val="001248DA"/>
    <w:rsid w:val="00124F91"/>
    <w:rsid w:val="001251D9"/>
    <w:rsid w:val="0012553D"/>
    <w:rsid w:val="00125C04"/>
    <w:rsid w:val="0012621D"/>
    <w:rsid w:val="00126636"/>
    <w:rsid w:val="00126C80"/>
    <w:rsid w:val="0012701F"/>
    <w:rsid w:val="00127140"/>
    <w:rsid w:val="0012732F"/>
    <w:rsid w:val="00130596"/>
    <w:rsid w:val="00130ED6"/>
    <w:rsid w:val="00132C17"/>
    <w:rsid w:val="001349AF"/>
    <w:rsid w:val="00134A97"/>
    <w:rsid w:val="00135D0F"/>
    <w:rsid w:val="0013760C"/>
    <w:rsid w:val="0014030E"/>
    <w:rsid w:val="0014081F"/>
    <w:rsid w:val="00140E45"/>
    <w:rsid w:val="00141727"/>
    <w:rsid w:val="00141F1E"/>
    <w:rsid w:val="00142A63"/>
    <w:rsid w:val="00143C2B"/>
    <w:rsid w:val="0014415B"/>
    <w:rsid w:val="00144992"/>
    <w:rsid w:val="00145994"/>
    <w:rsid w:val="00145AE1"/>
    <w:rsid w:val="00145E7B"/>
    <w:rsid w:val="0014689A"/>
    <w:rsid w:val="0014753C"/>
    <w:rsid w:val="0014766C"/>
    <w:rsid w:val="0014774C"/>
    <w:rsid w:val="0014783E"/>
    <w:rsid w:val="00150BED"/>
    <w:rsid w:val="00150F17"/>
    <w:rsid w:val="001530A2"/>
    <w:rsid w:val="001532A6"/>
    <w:rsid w:val="00154666"/>
    <w:rsid w:val="00154A5C"/>
    <w:rsid w:val="00154E5A"/>
    <w:rsid w:val="001551A1"/>
    <w:rsid w:val="00155705"/>
    <w:rsid w:val="00155AD7"/>
    <w:rsid w:val="001561F1"/>
    <w:rsid w:val="00156E31"/>
    <w:rsid w:val="00157B51"/>
    <w:rsid w:val="00157D60"/>
    <w:rsid w:val="00157EE3"/>
    <w:rsid w:val="00160B48"/>
    <w:rsid w:val="00161100"/>
    <w:rsid w:val="00162753"/>
    <w:rsid w:val="00162D72"/>
    <w:rsid w:val="00162E3D"/>
    <w:rsid w:val="00163CC6"/>
    <w:rsid w:val="00164DB4"/>
    <w:rsid w:val="001651C6"/>
    <w:rsid w:val="001653DF"/>
    <w:rsid w:val="001660D2"/>
    <w:rsid w:val="00166407"/>
    <w:rsid w:val="0016712A"/>
    <w:rsid w:val="00167521"/>
    <w:rsid w:val="00167B5F"/>
    <w:rsid w:val="00170029"/>
    <w:rsid w:val="001700D5"/>
    <w:rsid w:val="001709FC"/>
    <w:rsid w:val="00171263"/>
    <w:rsid w:val="001737BF"/>
    <w:rsid w:val="001742BB"/>
    <w:rsid w:val="00174B4B"/>
    <w:rsid w:val="00174FF2"/>
    <w:rsid w:val="00175048"/>
    <w:rsid w:val="00175410"/>
    <w:rsid w:val="001754DD"/>
    <w:rsid w:val="001755F1"/>
    <w:rsid w:val="00175A47"/>
    <w:rsid w:val="00175B1D"/>
    <w:rsid w:val="00175F0A"/>
    <w:rsid w:val="00176531"/>
    <w:rsid w:val="001777DA"/>
    <w:rsid w:val="00177915"/>
    <w:rsid w:val="00177D91"/>
    <w:rsid w:val="00177F13"/>
    <w:rsid w:val="00177F66"/>
    <w:rsid w:val="00180402"/>
    <w:rsid w:val="001814B1"/>
    <w:rsid w:val="00181CD5"/>
    <w:rsid w:val="00181D92"/>
    <w:rsid w:val="001826AC"/>
    <w:rsid w:val="00182768"/>
    <w:rsid w:val="00182AD0"/>
    <w:rsid w:val="00183630"/>
    <w:rsid w:val="00183DC8"/>
    <w:rsid w:val="00184EF7"/>
    <w:rsid w:val="00185588"/>
    <w:rsid w:val="001864DD"/>
    <w:rsid w:val="00186501"/>
    <w:rsid w:val="00186816"/>
    <w:rsid w:val="001877DC"/>
    <w:rsid w:val="00187ABE"/>
    <w:rsid w:val="00187CA8"/>
    <w:rsid w:val="00190E68"/>
    <w:rsid w:val="0019145F"/>
    <w:rsid w:val="001916B3"/>
    <w:rsid w:val="00191BE3"/>
    <w:rsid w:val="00192BD4"/>
    <w:rsid w:val="001930EB"/>
    <w:rsid w:val="00193731"/>
    <w:rsid w:val="00194B8A"/>
    <w:rsid w:val="00194C55"/>
    <w:rsid w:val="00195AF8"/>
    <w:rsid w:val="001965D0"/>
    <w:rsid w:val="00196B03"/>
    <w:rsid w:val="00197064"/>
    <w:rsid w:val="0019752E"/>
    <w:rsid w:val="001975C4"/>
    <w:rsid w:val="001A0D74"/>
    <w:rsid w:val="001A146B"/>
    <w:rsid w:val="001A19E0"/>
    <w:rsid w:val="001A1A04"/>
    <w:rsid w:val="001A1ADA"/>
    <w:rsid w:val="001A315D"/>
    <w:rsid w:val="001A3450"/>
    <w:rsid w:val="001A42FE"/>
    <w:rsid w:val="001A722B"/>
    <w:rsid w:val="001B0444"/>
    <w:rsid w:val="001B0C41"/>
    <w:rsid w:val="001B10EA"/>
    <w:rsid w:val="001B2889"/>
    <w:rsid w:val="001B296F"/>
    <w:rsid w:val="001B4465"/>
    <w:rsid w:val="001B453D"/>
    <w:rsid w:val="001B4C9A"/>
    <w:rsid w:val="001B5117"/>
    <w:rsid w:val="001B58F9"/>
    <w:rsid w:val="001B5DCF"/>
    <w:rsid w:val="001B6149"/>
    <w:rsid w:val="001B6AF7"/>
    <w:rsid w:val="001B6C09"/>
    <w:rsid w:val="001B6E0D"/>
    <w:rsid w:val="001B6EAA"/>
    <w:rsid w:val="001C0226"/>
    <w:rsid w:val="001C0A0A"/>
    <w:rsid w:val="001C0EBA"/>
    <w:rsid w:val="001C3196"/>
    <w:rsid w:val="001C3706"/>
    <w:rsid w:val="001C44D3"/>
    <w:rsid w:val="001C5346"/>
    <w:rsid w:val="001C636C"/>
    <w:rsid w:val="001C66C6"/>
    <w:rsid w:val="001C7A20"/>
    <w:rsid w:val="001D103B"/>
    <w:rsid w:val="001D1EDE"/>
    <w:rsid w:val="001D2142"/>
    <w:rsid w:val="001D2601"/>
    <w:rsid w:val="001D260F"/>
    <w:rsid w:val="001D2B5C"/>
    <w:rsid w:val="001D2C35"/>
    <w:rsid w:val="001D6A6A"/>
    <w:rsid w:val="001E1BE5"/>
    <w:rsid w:val="001E2523"/>
    <w:rsid w:val="001E2691"/>
    <w:rsid w:val="001E2A67"/>
    <w:rsid w:val="001E34E0"/>
    <w:rsid w:val="001E3BD3"/>
    <w:rsid w:val="001E3F08"/>
    <w:rsid w:val="001E5AC5"/>
    <w:rsid w:val="001E67B8"/>
    <w:rsid w:val="001E79F5"/>
    <w:rsid w:val="001F051D"/>
    <w:rsid w:val="001F0812"/>
    <w:rsid w:val="001F08EA"/>
    <w:rsid w:val="001F2A61"/>
    <w:rsid w:val="001F33F6"/>
    <w:rsid w:val="001F3742"/>
    <w:rsid w:val="001F4385"/>
    <w:rsid w:val="001F440A"/>
    <w:rsid w:val="001F49F4"/>
    <w:rsid w:val="001F6093"/>
    <w:rsid w:val="001F6504"/>
    <w:rsid w:val="001F718C"/>
    <w:rsid w:val="001F7B46"/>
    <w:rsid w:val="002000F0"/>
    <w:rsid w:val="002004E7"/>
    <w:rsid w:val="00200A83"/>
    <w:rsid w:val="00200DCF"/>
    <w:rsid w:val="002012D7"/>
    <w:rsid w:val="00201DE4"/>
    <w:rsid w:val="00202BCF"/>
    <w:rsid w:val="002039E9"/>
    <w:rsid w:val="00203F27"/>
    <w:rsid w:val="00204EF1"/>
    <w:rsid w:val="0020527B"/>
    <w:rsid w:val="002057E3"/>
    <w:rsid w:val="00205DC0"/>
    <w:rsid w:val="00205E0D"/>
    <w:rsid w:val="00205F00"/>
    <w:rsid w:val="00206FFF"/>
    <w:rsid w:val="0020724B"/>
    <w:rsid w:val="0020756E"/>
    <w:rsid w:val="0021014D"/>
    <w:rsid w:val="00210198"/>
    <w:rsid w:val="00211633"/>
    <w:rsid w:val="00211971"/>
    <w:rsid w:val="0021286F"/>
    <w:rsid w:val="002131CC"/>
    <w:rsid w:val="00213D98"/>
    <w:rsid w:val="00213FAD"/>
    <w:rsid w:val="00213FE4"/>
    <w:rsid w:val="002143AA"/>
    <w:rsid w:val="002153CB"/>
    <w:rsid w:val="002161CA"/>
    <w:rsid w:val="002175C9"/>
    <w:rsid w:val="00217B2F"/>
    <w:rsid w:val="002203FD"/>
    <w:rsid w:val="00221209"/>
    <w:rsid w:val="00223A47"/>
    <w:rsid w:val="002254C3"/>
    <w:rsid w:val="00227536"/>
    <w:rsid w:val="00227FEA"/>
    <w:rsid w:val="00230632"/>
    <w:rsid w:val="002318AE"/>
    <w:rsid w:val="00231955"/>
    <w:rsid w:val="0023327B"/>
    <w:rsid w:val="002335FB"/>
    <w:rsid w:val="00233F9A"/>
    <w:rsid w:val="002341A4"/>
    <w:rsid w:val="00234561"/>
    <w:rsid w:val="002351CD"/>
    <w:rsid w:val="00235B9E"/>
    <w:rsid w:val="00235DF1"/>
    <w:rsid w:val="0023614F"/>
    <w:rsid w:val="002362DC"/>
    <w:rsid w:val="00236616"/>
    <w:rsid w:val="00236950"/>
    <w:rsid w:val="00237383"/>
    <w:rsid w:val="00237955"/>
    <w:rsid w:val="002419FE"/>
    <w:rsid w:val="00242493"/>
    <w:rsid w:val="0024333C"/>
    <w:rsid w:val="0024341B"/>
    <w:rsid w:val="002435C4"/>
    <w:rsid w:val="00244322"/>
    <w:rsid w:val="00245BA2"/>
    <w:rsid w:val="002464F5"/>
    <w:rsid w:val="002467E5"/>
    <w:rsid w:val="002477F8"/>
    <w:rsid w:val="00247A68"/>
    <w:rsid w:val="00247FC0"/>
    <w:rsid w:val="0025030B"/>
    <w:rsid w:val="002514C1"/>
    <w:rsid w:val="00252978"/>
    <w:rsid w:val="00252E12"/>
    <w:rsid w:val="00253148"/>
    <w:rsid w:val="00253877"/>
    <w:rsid w:val="002545B5"/>
    <w:rsid w:val="002545BC"/>
    <w:rsid w:val="00254C12"/>
    <w:rsid w:val="00255AAF"/>
    <w:rsid w:val="002562E2"/>
    <w:rsid w:val="002569B9"/>
    <w:rsid w:val="00256F77"/>
    <w:rsid w:val="00257712"/>
    <w:rsid w:val="0025795E"/>
    <w:rsid w:val="00257E47"/>
    <w:rsid w:val="00260690"/>
    <w:rsid w:val="00260B82"/>
    <w:rsid w:val="002616EA"/>
    <w:rsid w:val="00262503"/>
    <w:rsid w:val="00262A37"/>
    <w:rsid w:val="00262BFC"/>
    <w:rsid w:val="0026323B"/>
    <w:rsid w:val="00265276"/>
    <w:rsid w:val="00265A57"/>
    <w:rsid w:val="002663E7"/>
    <w:rsid w:val="00266611"/>
    <w:rsid w:val="00267762"/>
    <w:rsid w:val="00267B0B"/>
    <w:rsid w:val="00267D22"/>
    <w:rsid w:val="002708AF"/>
    <w:rsid w:val="00270C59"/>
    <w:rsid w:val="002715C9"/>
    <w:rsid w:val="00271ED9"/>
    <w:rsid w:val="00272556"/>
    <w:rsid w:val="002727E5"/>
    <w:rsid w:val="002746FA"/>
    <w:rsid w:val="0027497A"/>
    <w:rsid w:val="00274BCC"/>
    <w:rsid w:val="00274D69"/>
    <w:rsid w:val="0027614C"/>
    <w:rsid w:val="00276704"/>
    <w:rsid w:val="00280749"/>
    <w:rsid w:val="00280D6D"/>
    <w:rsid w:val="00281540"/>
    <w:rsid w:val="0028328E"/>
    <w:rsid w:val="002837E7"/>
    <w:rsid w:val="00283D6E"/>
    <w:rsid w:val="0028485B"/>
    <w:rsid w:val="00284FAD"/>
    <w:rsid w:val="0028576A"/>
    <w:rsid w:val="00285D26"/>
    <w:rsid w:val="00285EDC"/>
    <w:rsid w:val="00286021"/>
    <w:rsid w:val="00286549"/>
    <w:rsid w:val="00286660"/>
    <w:rsid w:val="00286A69"/>
    <w:rsid w:val="002871A0"/>
    <w:rsid w:val="002871D8"/>
    <w:rsid w:val="00287690"/>
    <w:rsid w:val="00287FBC"/>
    <w:rsid w:val="00290DB7"/>
    <w:rsid w:val="002933BD"/>
    <w:rsid w:val="0029350A"/>
    <w:rsid w:val="00293515"/>
    <w:rsid w:val="00293554"/>
    <w:rsid w:val="0029362E"/>
    <w:rsid w:val="00293A22"/>
    <w:rsid w:val="0029467D"/>
    <w:rsid w:val="00294869"/>
    <w:rsid w:val="00294F0C"/>
    <w:rsid w:val="00295B6B"/>
    <w:rsid w:val="00295C58"/>
    <w:rsid w:val="00295F10"/>
    <w:rsid w:val="002960B4"/>
    <w:rsid w:val="002963CA"/>
    <w:rsid w:val="00296D2A"/>
    <w:rsid w:val="00297A81"/>
    <w:rsid w:val="002A04A3"/>
    <w:rsid w:val="002A07DD"/>
    <w:rsid w:val="002A1351"/>
    <w:rsid w:val="002A19AA"/>
    <w:rsid w:val="002A2732"/>
    <w:rsid w:val="002A29E2"/>
    <w:rsid w:val="002A30FD"/>
    <w:rsid w:val="002A485F"/>
    <w:rsid w:val="002A6140"/>
    <w:rsid w:val="002A6421"/>
    <w:rsid w:val="002A674B"/>
    <w:rsid w:val="002A6E4F"/>
    <w:rsid w:val="002B0350"/>
    <w:rsid w:val="002B20DB"/>
    <w:rsid w:val="002B28F9"/>
    <w:rsid w:val="002B3223"/>
    <w:rsid w:val="002B3FBB"/>
    <w:rsid w:val="002B420F"/>
    <w:rsid w:val="002B4AE9"/>
    <w:rsid w:val="002B5162"/>
    <w:rsid w:val="002B54AA"/>
    <w:rsid w:val="002B5684"/>
    <w:rsid w:val="002B64CB"/>
    <w:rsid w:val="002B674B"/>
    <w:rsid w:val="002B6811"/>
    <w:rsid w:val="002C079C"/>
    <w:rsid w:val="002C18F2"/>
    <w:rsid w:val="002C1B13"/>
    <w:rsid w:val="002C2C99"/>
    <w:rsid w:val="002C3425"/>
    <w:rsid w:val="002C3D3D"/>
    <w:rsid w:val="002C4315"/>
    <w:rsid w:val="002C4A06"/>
    <w:rsid w:val="002C4C19"/>
    <w:rsid w:val="002C50A5"/>
    <w:rsid w:val="002C558A"/>
    <w:rsid w:val="002C5679"/>
    <w:rsid w:val="002C68FA"/>
    <w:rsid w:val="002C6EE0"/>
    <w:rsid w:val="002C7568"/>
    <w:rsid w:val="002C7AF2"/>
    <w:rsid w:val="002D0F89"/>
    <w:rsid w:val="002D2FC3"/>
    <w:rsid w:val="002D3AD3"/>
    <w:rsid w:val="002D42E7"/>
    <w:rsid w:val="002D46E6"/>
    <w:rsid w:val="002D4991"/>
    <w:rsid w:val="002D5068"/>
    <w:rsid w:val="002D632C"/>
    <w:rsid w:val="002D6602"/>
    <w:rsid w:val="002D6D75"/>
    <w:rsid w:val="002D7248"/>
    <w:rsid w:val="002D759D"/>
    <w:rsid w:val="002E01E3"/>
    <w:rsid w:val="002E1D7B"/>
    <w:rsid w:val="002E21F8"/>
    <w:rsid w:val="002E28D6"/>
    <w:rsid w:val="002E29C8"/>
    <w:rsid w:val="002E3F4B"/>
    <w:rsid w:val="002E4130"/>
    <w:rsid w:val="002E554B"/>
    <w:rsid w:val="002E58DA"/>
    <w:rsid w:val="002E5B78"/>
    <w:rsid w:val="002E660F"/>
    <w:rsid w:val="002E6645"/>
    <w:rsid w:val="002E6896"/>
    <w:rsid w:val="002E7390"/>
    <w:rsid w:val="002E741A"/>
    <w:rsid w:val="002E7F7F"/>
    <w:rsid w:val="002F0557"/>
    <w:rsid w:val="002F131A"/>
    <w:rsid w:val="002F1857"/>
    <w:rsid w:val="002F1CE1"/>
    <w:rsid w:val="002F3296"/>
    <w:rsid w:val="002F39C8"/>
    <w:rsid w:val="002F3F0C"/>
    <w:rsid w:val="002F4515"/>
    <w:rsid w:val="002F4843"/>
    <w:rsid w:val="002F4ED0"/>
    <w:rsid w:val="002F56F8"/>
    <w:rsid w:val="002F6064"/>
    <w:rsid w:val="002F6963"/>
    <w:rsid w:val="002F706C"/>
    <w:rsid w:val="002F77A8"/>
    <w:rsid w:val="00301758"/>
    <w:rsid w:val="0030179C"/>
    <w:rsid w:val="00301AD8"/>
    <w:rsid w:val="00301E9B"/>
    <w:rsid w:val="003026C5"/>
    <w:rsid w:val="003028F7"/>
    <w:rsid w:val="00302ADF"/>
    <w:rsid w:val="003037D7"/>
    <w:rsid w:val="00303B04"/>
    <w:rsid w:val="00305260"/>
    <w:rsid w:val="00305769"/>
    <w:rsid w:val="00305A53"/>
    <w:rsid w:val="00306283"/>
    <w:rsid w:val="0030640F"/>
    <w:rsid w:val="0031014E"/>
    <w:rsid w:val="00310957"/>
    <w:rsid w:val="00310AE0"/>
    <w:rsid w:val="003114D7"/>
    <w:rsid w:val="0031168E"/>
    <w:rsid w:val="003120FC"/>
    <w:rsid w:val="00312A06"/>
    <w:rsid w:val="00313FCB"/>
    <w:rsid w:val="00314061"/>
    <w:rsid w:val="003142D7"/>
    <w:rsid w:val="003144D7"/>
    <w:rsid w:val="00314826"/>
    <w:rsid w:val="00315B4F"/>
    <w:rsid w:val="00316490"/>
    <w:rsid w:val="00316733"/>
    <w:rsid w:val="003167A8"/>
    <w:rsid w:val="003167CD"/>
    <w:rsid w:val="00316CF8"/>
    <w:rsid w:val="00316D49"/>
    <w:rsid w:val="0032094B"/>
    <w:rsid w:val="00320EC3"/>
    <w:rsid w:val="00321CEC"/>
    <w:rsid w:val="00322202"/>
    <w:rsid w:val="0032289F"/>
    <w:rsid w:val="00324400"/>
    <w:rsid w:val="00324540"/>
    <w:rsid w:val="00325744"/>
    <w:rsid w:val="00325C71"/>
    <w:rsid w:val="00325D96"/>
    <w:rsid w:val="00330E92"/>
    <w:rsid w:val="003315DE"/>
    <w:rsid w:val="0033293E"/>
    <w:rsid w:val="00332D38"/>
    <w:rsid w:val="003331B9"/>
    <w:rsid w:val="0033350C"/>
    <w:rsid w:val="00334886"/>
    <w:rsid w:val="003348B3"/>
    <w:rsid w:val="00335BFA"/>
    <w:rsid w:val="00335F0B"/>
    <w:rsid w:val="00335FA7"/>
    <w:rsid w:val="00337145"/>
    <w:rsid w:val="003373A3"/>
    <w:rsid w:val="00337648"/>
    <w:rsid w:val="003377FA"/>
    <w:rsid w:val="0034084E"/>
    <w:rsid w:val="003408A3"/>
    <w:rsid w:val="003414E8"/>
    <w:rsid w:val="00342802"/>
    <w:rsid w:val="003437A8"/>
    <w:rsid w:val="0034436D"/>
    <w:rsid w:val="003449E7"/>
    <w:rsid w:val="0034515C"/>
    <w:rsid w:val="0034697E"/>
    <w:rsid w:val="003476E5"/>
    <w:rsid w:val="00347761"/>
    <w:rsid w:val="0034781A"/>
    <w:rsid w:val="00350D90"/>
    <w:rsid w:val="00351AAE"/>
    <w:rsid w:val="0035208B"/>
    <w:rsid w:val="00352516"/>
    <w:rsid w:val="00352562"/>
    <w:rsid w:val="00352625"/>
    <w:rsid w:val="00352C75"/>
    <w:rsid w:val="003535A2"/>
    <w:rsid w:val="00353D55"/>
    <w:rsid w:val="00354E6C"/>
    <w:rsid w:val="00355273"/>
    <w:rsid w:val="003552C6"/>
    <w:rsid w:val="00355F2D"/>
    <w:rsid w:val="0035697E"/>
    <w:rsid w:val="0035764A"/>
    <w:rsid w:val="00357E74"/>
    <w:rsid w:val="00360B49"/>
    <w:rsid w:val="0036108D"/>
    <w:rsid w:val="00361544"/>
    <w:rsid w:val="00361919"/>
    <w:rsid w:val="0036234A"/>
    <w:rsid w:val="00362A72"/>
    <w:rsid w:val="00362B35"/>
    <w:rsid w:val="00363010"/>
    <w:rsid w:val="00363810"/>
    <w:rsid w:val="0036433A"/>
    <w:rsid w:val="003647C1"/>
    <w:rsid w:val="00364BED"/>
    <w:rsid w:val="00364FB5"/>
    <w:rsid w:val="003655F3"/>
    <w:rsid w:val="00365A53"/>
    <w:rsid w:val="00366CE4"/>
    <w:rsid w:val="003701AC"/>
    <w:rsid w:val="003702EB"/>
    <w:rsid w:val="00370EB7"/>
    <w:rsid w:val="003713DB"/>
    <w:rsid w:val="00371C78"/>
    <w:rsid w:val="00372174"/>
    <w:rsid w:val="003742AF"/>
    <w:rsid w:val="00374AC5"/>
    <w:rsid w:val="00375318"/>
    <w:rsid w:val="003760BA"/>
    <w:rsid w:val="00376181"/>
    <w:rsid w:val="00376FB6"/>
    <w:rsid w:val="0037724D"/>
    <w:rsid w:val="003777FE"/>
    <w:rsid w:val="00380DA0"/>
    <w:rsid w:val="00380FB7"/>
    <w:rsid w:val="0038367B"/>
    <w:rsid w:val="003849C9"/>
    <w:rsid w:val="00384BC4"/>
    <w:rsid w:val="00384F97"/>
    <w:rsid w:val="0038519E"/>
    <w:rsid w:val="00385337"/>
    <w:rsid w:val="0038585D"/>
    <w:rsid w:val="00386A2C"/>
    <w:rsid w:val="00386C36"/>
    <w:rsid w:val="00386D5B"/>
    <w:rsid w:val="00387617"/>
    <w:rsid w:val="00387D39"/>
    <w:rsid w:val="003904CC"/>
    <w:rsid w:val="0039057C"/>
    <w:rsid w:val="00391995"/>
    <w:rsid w:val="0039205E"/>
    <w:rsid w:val="003933AE"/>
    <w:rsid w:val="00394C42"/>
    <w:rsid w:val="00394FF2"/>
    <w:rsid w:val="00396316"/>
    <w:rsid w:val="003964FB"/>
    <w:rsid w:val="0039663D"/>
    <w:rsid w:val="0039664A"/>
    <w:rsid w:val="003973E3"/>
    <w:rsid w:val="00397ECF"/>
    <w:rsid w:val="003A073C"/>
    <w:rsid w:val="003A1186"/>
    <w:rsid w:val="003A12C8"/>
    <w:rsid w:val="003A1C58"/>
    <w:rsid w:val="003A214C"/>
    <w:rsid w:val="003A26FD"/>
    <w:rsid w:val="003A2AB3"/>
    <w:rsid w:val="003A334A"/>
    <w:rsid w:val="003A387E"/>
    <w:rsid w:val="003A3CF6"/>
    <w:rsid w:val="003A3FD6"/>
    <w:rsid w:val="003A4D76"/>
    <w:rsid w:val="003A5DC1"/>
    <w:rsid w:val="003A6247"/>
    <w:rsid w:val="003A6DBB"/>
    <w:rsid w:val="003A76C9"/>
    <w:rsid w:val="003B0055"/>
    <w:rsid w:val="003B0884"/>
    <w:rsid w:val="003B0E5B"/>
    <w:rsid w:val="003B178D"/>
    <w:rsid w:val="003B1C2D"/>
    <w:rsid w:val="003B2FAF"/>
    <w:rsid w:val="003B33E6"/>
    <w:rsid w:val="003B3555"/>
    <w:rsid w:val="003B37F2"/>
    <w:rsid w:val="003B40DF"/>
    <w:rsid w:val="003B4844"/>
    <w:rsid w:val="003B5745"/>
    <w:rsid w:val="003B5DF8"/>
    <w:rsid w:val="003B6DF9"/>
    <w:rsid w:val="003C007A"/>
    <w:rsid w:val="003C2AB1"/>
    <w:rsid w:val="003C3785"/>
    <w:rsid w:val="003C3C26"/>
    <w:rsid w:val="003C44EE"/>
    <w:rsid w:val="003C4750"/>
    <w:rsid w:val="003C480C"/>
    <w:rsid w:val="003C4B84"/>
    <w:rsid w:val="003C4B94"/>
    <w:rsid w:val="003C50E6"/>
    <w:rsid w:val="003C5508"/>
    <w:rsid w:val="003C5C28"/>
    <w:rsid w:val="003C69C2"/>
    <w:rsid w:val="003C7932"/>
    <w:rsid w:val="003C7EFA"/>
    <w:rsid w:val="003D0662"/>
    <w:rsid w:val="003D0EE3"/>
    <w:rsid w:val="003D1541"/>
    <w:rsid w:val="003D26A5"/>
    <w:rsid w:val="003D2FF7"/>
    <w:rsid w:val="003D32BF"/>
    <w:rsid w:val="003D3AD2"/>
    <w:rsid w:val="003D4356"/>
    <w:rsid w:val="003D4E4F"/>
    <w:rsid w:val="003D5525"/>
    <w:rsid w:val="003D5631"/>
    <w:rsid w:val="003D66FD"/>
    <w:rsid w:val="003D6C38"/>
    <w:rsid w:val="003D7F90"/>
    <w:rsid w:val="003D7FB1"/>
    <w:rsid w:val="003E0A2B"/>
    <w:rsid w:val="003E0D72"/>
    <w:rsid w:val="003E1ADF"/>
    <w:rsid w:val="003E1EC0"/>
    <w:rsid w:val="003E4221"/>
    <w:rsid w:val="003E4AB5"/>
    <w:rsid w:val="003E52DE"/>
    <w:rsid w:val="003E56B7"/>
    <w:rsid w:val="003E64C2"/>
    <w:rsid w:val="003E6D67"/>
    <w:rsid w:val="003F02F5"/>
    <w:rsid w:val="003F0DF2"/>
    <w:rsid w:val="003F1782"/>
    <w:rsid w:val="003F1A8B"/>
    <w:rsid w:val="003F1F20"/>
    <w:rsid w:val="003F2BDF"/>
    <w:rsid w:val="003F3A69"/>
    <w:rsid w:val="003F4041"/>
    <w:rsid w:val="003F42D9"/>
    <w:rsid w:val="003F4B83"/>
    <w:rsid w:val="003F5879"/>
    <w:rsid w:val="003F5ADC"/>
    <w:rsid w:val="003F6020"/>
    <w:rsid w:val="003F6ECC"/>
    <w:rsid w:val="003F7891"/>
    <w:rsid w:val="003F7DEF"/>
    <w:rsid w:val="004007DE"/>
    <w:rsid w:val="00400A2D"/>
    <w:rsid w:val="00401201"/>
    <w:rsid w:val="00401552"/>
    <w:rsid w:val="00401587"/>
    <w:rsid w:val="00401C53"/>
    <w:rsid w:val="00402169"/>
    <w:rsid w:val="004023C8"/>
    <w:rsid w:val="0040243D"/>
    <w:rsid w:val="00403C4B"/>
    <w:rsid w:val="00403E52"/>
    <w:rsid w:val="004045BA"/>
    <w:rsid w:val="00404678"/>
    <w:rsid w:val="00404C46"/>
    <w:rsid w:val="00404CE3"/>
    <w:rsid w:val="00404D8C"/>
    <w:rsid w:val="004051F1"/>
    <w:rsid w:val="00405530"/>
    <w:rsid w:val="004057DA"/>
    <w:rsid w:val="00405A84"/>
    <w:rsid w:val="00406F67"/>
    <w:rsid w:val="00407246"/>
    <w:rsid w:val="004130A8"/>
    <w:rsid w:val="004133AE"/>
    <w:rsid w:val="0041389C"/>
    <w:rsid w:val="00413E74"/>
    <w:rsid w:val="004150E9"/>
    <w:rsid w:val="00416444"/>
    <w:rsid w:val="00416A88"/>
    <w:rsid w:val="00416C69"/>
    <w:rsid w:val="00417F37"/>
    <w:rsid w:val="00420CD5"/>
    <w:rsid w:val="0042108A"/>
    <w:rsid w:val="00421200"/>
    <w:rsid w:val="0042148C"/>
    <w:rsid w:val="00422920"/>
    <w:rsid w:val="0042341C"/>
    <w:rsid w:val="00423421"/>
    <w:rsid w:val="004237B7"/>
    <w:rsid w:val="00424305"/>
    <w:rsid w:val="00424378"/>
    <w:rsid w:val="0042464E"/>
    <w:rsid w:val="00424BC0"/>
    <w:rsid w:val="00425190"/>
    <w:rsid w:val="00425D07"/>
    <w:rsid w:val="00426943"/>
    <w:rsid w:val="0042762F"/>
    <w:rsid w:val="0042784E"/>
    <w:rsid w:val="00427CA2"/>
    <w:rsid w:val="00427F5F"/>
    <w:rsid w:val="004313AF"/>
    <w:rsid w:val="00431CD5"/>
    <w:rsid w:val="0043295A"/>
    <w:rsid w:val="00432D8A"/>
    <w:rsid w:val="0043395B"/>
    <w:rsid w:val="00433B1C"/>
    <w:rsid w:val="00433F80"/>
    <w:rsid w:val="00434498"/>
    <w:rsid w:val="00434A7E"/>
    <w:rsid w:val="004353A1"/>
    <w:rsid w:val="00435C31"/>
    <w:rsid w:val="0043750D"/>
    <w:rsid w:val="004408A8"/>
    <w:rsid w:val="00440B9F"/>
    <w:rsid w:val="004437CA"/>
    <w:rsid w:val="004439ED"/>
    <w:rsid w:val="00444052"/>
    <w:rsid w:val="004445D6"/>
    <w:rsid w:val="004447CC"/>
    <w:rsid w:val="004456F0"/>
    <w:rsid w:val="00445B53"/>
    <w:rsid w:val="00445BF7"/>
    <w:rsid w:val="00446663"/>
    <w:rsid w:val="0044687E"/>
    <w:rsid w:val="00447C14"/>
    <w:rsid w:val="00450555"/>
    <w:rsid w:val="004505EC"/>
    <w:rsid w:val="00450B6F"/>
    <w:rsid w:val="00451A27"/>
    <w:rsid w:val="00451FDE"/>
    <w:rsid w:val="00452A87"/>
    <w:rsid w:val="0045376C"/>
    <w:rsid w:val="00453F41"/>
    <w:rsid w:val="00453F52"/>
    <w:rsid w:val="0045406A"/>
    <w:rsid w:val="00456869"/>
    <w:rsid w:val="004568BC"/>
    <w:rsid w:val="00456A3F"/>
    <w:rsid w:val="00456F68"/>
    <w:rsid w:val="00460240"/>
    <w:rsid w:val="00461929"/>
    <w:rsid w:val="00461990"/>
    <w:rsid w:val="00464A5C"/>
    <w:rsid w:val="0047066B"/>
    <w:rsid w:val="0047154F"/>
    <w:rsid w:val="00472766"/>
    <w:rsid w:val="004741AF"/>
    <w:rsid w:val="0047475D"/>
    <w:rsid w:val="00476F65"/>
    <w:rsid w:val="00477495"/>
    <w:rsid w:val="00477709"/>
    <w:rsid w:val="00477803"/>
    <w:rsid w:val="00481812"/>
    <w:rsid w:val="0048198D"/>
    <w:rsid w:val="00481C41"/>
    <w:rsid w:val="00482982"/>
    <w:rsid w:val="00482B91"/>
    <w:rsid w:val="00483090"/>
    <w:rsid w:val="00483363"/>
    <w:rsid w:val="00483433"/>
    <w:rsid w:val="00483E99"/>
    <w:rsid w:val="00484C05"/>
    <w:rsid w:val="00484EE5"/>
    <w:rsid w:val="004856F2"/>
    <w:rsid w:val="0048591B"/>
    <w:rsid w:val="00485AA9"/>
    <w:rsid w:val="00485D06"/>
    <w:rsid w:val="00485D4C"/>
    <w:rsid w:val="004864ED"/>
    <w:rsid w:val="00486DC1"/>
    <w:rsid w:val="00487085"/>
    <w:rsid w:val="0049015B"/>
    <w:rsid w:val="00491115"/>
    <w:rsid w:val="0049184E"/>
    <w:rsid w:val="00491D86"/>
    <w:rsid w:val="00491E1B"/>
    <w:rsid w:val="00491F1E"/>
    <w:rsid w:val="0049207B"/>
    <w:rsid w:val="0049300A"/>
    <w:rsid w:val="00493713"/>
    <w:rsid w:val="0049449F"/>
    <w:rsid w:val="00495277"/>
    <w:rsid w:val="0049586D"/>
    <w:rsid w:val="00495A7B"/>
    <w:rsid w:val="00495E5E"/>
    <w:rsid w:val="00495FF0"/>
    <w:rsid w:val="00496278"/>
    <w:rsid w:val="00497568"/>
    <w:rsid w:val="004A0117"/>
    <w:rsid w:val="004A03AD"/>
    <w:rsid w:val="004A0ECF"/>
    <w:rsid w:val="004A14B7"/>
    <w:rsid w:val="004A1B5D"/>
    <w:rsid w:val="004A284A"/>
    <w:rsid w:val="004A31C7"/>
    <w:rsid w:val="004A4655"/>
    <w:rsid w:val="004A52B1"/>
    <w:rsid w:val="004A52BC"/>
    <w:rsid w:val="004A71BA"/>
    <w:rsid w:val="004A77ED"/>
    <w:rsid w:val="004B03A4"/>
    <w:rsid w:val="004B073B"/>
    <w:rsid w:val="004B173A"/>
    <w:rsid w:val="004B1FA1"/>
    <w:rsid w:val="004B2AF6"/>
    <w:rsid w:val="004B2CBF"/>
    <w:rsid w:val="004B3782"/>
    <w:rsid w:val="004B38B2"/>
    <w:rsid w:val="004B4683"/>
    <w:rsid w:val="004B4A7A"/>
    <w:rsid w:val="004B52D9"/>
    <w:rsid w:val="004B65E0"/>
    <w:rsid w:val="004B6B92"/>
    <w:rsid w:val="004B6E29"/>
    <w:rsid w:val="004B7BF6"/>
    <w:rsid w:val="004C0BEA"/>
    <w:rsid w:val="004C1884"/>
    <w:rsid w:val="004C19A9"/>
    <w:rsid w:val="004C2F7F"/>
    <w:rsid w:val="004C3E1F"/>
    <w:rsid w:val="004C40EE"/>
    <w:rsid w:val="004C4551"/>
    <w:rsid w:val="004C4DAE"/>
    <w:rsid w:val="004C4E08"/>
    <w:rsid w:val="004C51AF"/>
    <w:rsid w:val="004C52FA"/>
    <w:rsid w:val="004C56FD"/>
    <w:rsid w:val="004C5ACF"/>
    <w:rsid w:val="004C5B38"/>
    <w:rsid w:val="004C7CA9"/>
    <w:rsid w:val="004C7CDA"/>
    <w:rsid w:val="004D1425"/>
    <w:rsid w:val="004D1CCB"/>
    <w:rsid w:val="004D1D34"/>
    <w:rsid w:val="004D3AFF"/>
    <w:rsid w:val="004D4392"/>
    <w:rsid w:val="004D5F74"/>
    <w:rsid w:val="004D696C"/>
    <w:rsid w:val="004D6F88"/>
    <w:rsid w:val="004D7025"/>
    <w:rsid w:val="004E0080"/>
    <w:rsid w:val="004E0294"/>
    <w:rsid w:val="004E03B1"/>
    <w:rsid w:val="004E04CA"/>
    <w:rsid w:val="004E217F"/>
    <w:rsid w:val="004E56AE"/>
    <w:rsid w:val="004E5B25"/>
    <w:rsid w:val="004E661A"/>
    <w:rsid w:val="004E66B4"/>
    <w:rsid w:val="004E7450"/>
    <w:rsid w:val="004E7798"/>
    <w:rsid w:val="004E7A10"/>
    <w:rsid w:val="004E7D6F"/>
    <w:rsid w:val="004F0367"/>
    <w:rsid w:val="004F099F"/>
    <w:rsid w:val="004F1464"/>
    <w:rsid w:val="004F2F46"/>
    <w:rsid w:val="004F2F90"/>
    <w:rsid w:val="004F3107"/>
    <w:rsid w:val="004F310C"/>
    <w:rsid w:val="004F356B"/>
    <w:rsid w:val="004F3A81"/>
    <w:rsid w:val="004F3AC6"/>
    <w:rsid w:val="004F3E1A"/>
    <w:rsid w:val="004F4202"/>
    <w:rsid w:val="004F44F4"/>
    <w:rsid w:val="004F4913"/>
    <w:rsid w:val="004F5443"/>
    <w:rsid w:val="004F6E5F"/>
    <w:rsid w:val="004F746E"/>
    <w:rsid w:val="00500737"/>
    <w:rsid w:val="00501CE4"/>
    <w:rsid w:val="00502495"/>
    <w:rsid w:val="00502DD8"/>
    <w:rsid w:val="00503323"/>
    <w:rsid w:val="00504105"/>
    <w:rsid w:val="005043CF"/>
    <w:rsid w:val="00504639"/>
    <w:rsid w:val="00505533"/>
    <w:rsid w:val="00505834"/>
    <w:rsid w:val="005060CC"/>
    <w:rsid w:val="00506586"/>
    <w:rsid w:val="00506958"/>
    <w:rsid w:val="00507171"/>
    <w:rsid w:val="00510164"/>
    <w:rsid w:val="0051022F"/>
    <w:rsid w:val="00510664"/>
    <w:rsid w:val="00510922"/>
    <w:rsid w:val="00510CF8"/>
    <w:rsid w:val="00510E61"/>
    <w:rsid w:val="005112F9"/>
    <w:rsid w:val="00511986"/>
    <w:rsid w:val="00511F53"/>
    <w:rsid w:val="005121F7"/>
    <w:rsid w:val="00512879"/>
    <w:rsid w:val="00513DEA"/>
    <w:rsid w:val="005142E9"/>
    <w:rsid w:val="0051465F"/>
    <w:rsid w:val="00515846"/>
    <w:rsid w:val="00515E73"/>
    <w:rsid w:val="00515F7F"/>
    <w:rsid w:val="0051644E"/>
    <w:rsid w:val="0051703F"/>
    <w:rsid w:val="005177CB"/>
    <w:rsid w:val="0052012D"/>
    <w:rsid w:val="005219BD"/>
    <w:rsid w:val="005227E6"/>
    <w:rsid w:val="00523225"/>
    <w:rsid w:val="005234E4"/>
    <w:rsid w:val="00523FC7"/>
    <w:rsid w:val="005244ED"/>
    <w:rsid w:val="00524B01"/>
    <w:rsid w:val="00524BBB"/>
    <w:rsid w:val="00524F14"/>
    <w:rsid w:val="005254DC"/>
    <w:rsid w:val="00525621"/>
    <w:rsid w:val="0052618C"/>
    <w:rsid w:val="005262FA"/>
    <w:rsid w:val="00526F81"/>
    <w:rsid w:val="00527004"/>
    <w:rsid w:val="005279A8"/>
    <w:rsid w:val="00530405"/>
    <w:rsid w:val="00530C78"/>
    <w:rsid w:val="00531BB4"/>
    <w:rsid w:val="00532163"/>
    <w:rsid w:val="005322B6"/>
    <w:rsid w:val="005323B7"/>
    <w:rsid w:val="005327CE"/>
    <w:rsid w:val="005328F7"/>
    <w:rsid w:val="00532C96"/>
    <w:rsid w:val="00533936"/>
    <w:rsid w:val="00533D5A"/>
    <w:rsid w:val="00533D8F"/>
    <w:rsid w:val="00534567"/>
    <w:rsid w:val="00534BBD"/>
    <w:rsid w:val="00534C51"/>
    <w:rsid w:val="005351C1"/>
    <w:rsid w:val="0053603B"/>
    <w:rsid w:val="005360F0"/>
    <w:rsid w:val="00536103"/>
    <w:rsid w:val="005364CE"/>
    <w:rsid w:val="005371B6"/>
    <w:rsid w:val="005374D4"/>
    <w:rsid w:val="005407A5"/>
    <w:rsid w:val="00540840"/>
    <w:rsid w:val="00540F54"/>
    <w:rsid w:val="005410D2"/>
    <w:rsid w:val="005411F4"/>
    <w:rsid w:val="005424B2"/>
    <w:rsid w:val="00542650"/>
    <w:rsid w:val="00542B54"/>
    <w:rsid w:val="00542D27"/>
    <w:rsid w:val="00544818"/>
    <w:rsid w:val="00545791"/>
    <w:rsid w:val="00545B53"/>
    <w:rsid w:val="00546CF2"/>
    <w:rsid w:val="00546DCF"/>
    <w:rsid w:val="005471C4"/>
    <w:rsid w:val="005478D5"/>
    <w:rsid w:val="00547C81"/>
    <w:rsid w:val="005509CA"/>
    <w:rsid w:val="005514F6"/>
    <w:rsid w:val="005522D6"/>
    <w:rsid w:val="00552404"/>
    <w:rsid w:val="005524BA"/>
    <w:rsid w:val="00552553"/>
    <w:rsid w:val="00552BF9"/>
    <w:rsid w:val="00553487"/>
    <w:rsid w:val="005534C8"/>
    <w:rsid w:val="00553FA2"/>
    <w:rsid w:val="005541D7"/>
    <w:rsid w:val="00554E01"/>
    <w:rsid w:val="00555910"/>
    <w:rsid w:val="00556944"/>
    <w:rsid w:val="00556EA8"/>
    <w:rsid w:val="005579B0"/>
    <w:rsid w:val="00557D1B"/>
    <w:rsid w:val="00557F93"/>
    <w:rsid w:val="005605D3"/>
    <w:rsid w:val="005610F7"/>
    <w:rsid w:val="0056254A"/>
    <w:rsid w:val="00562C7A"/>
    <w:rsid w:val="0056442D"/>
    <w:rsid w:val="00564442"/>
    <w:rsid w:val="00564FEF"/>
    <w:rsid w:val="00565D51"/>
    <w:rsid w:val="005660A7"/>
    <w:rsid w:val="00566197"/>
    <w:rsid w:val="005662AF"/>
    <w:rsid w:val="00566EE8"/>
    <w:rsid w:val="005675CD"/>
    <w:rsid w:val="00567E34"/>
    <w:rsid w:val="005702FA"/>
    <w:rsid w:val="0057085E"/>
    <w:rsid w:val="0057093C"/>
    <w:rsid w:val="00570A23"/>
    <w:rsid w:val="00571F25"/>
    <w:rsid w:val="00571F69"/>
    <w:rsid w:val="0057211D"/>
    <w:rsid w:val="005726F9"/>
    <w:rsid w:val="00572986"/>
    <w:rsid w:val="00572D1A"/>
    <w:rsid w:val="00576A26"/>
    <w:rsid w:val="005776AB"/>
    <w:rsid w:val="0057793A"/>
    <w:rsid w:val="00577A3E"/>
    <w:rsid w:val="00577EFE"/>
    <w:rsid w:val="0058095D"/>
    <w:rsid w:val="00582780"/>
    <w:rsid w:val="00582BBF"/>
    <w:rsid w:val="005835C2"/>
    <w:rsid w:val="00584530"/>
    <w:rsid w:val="00584ACF"/>
    <w:rsid w:val="00584DE6"/>
    <w:rsid w:val="005850AF"/>
    <w:rsid w:val="00586AD9"/>
    <w:rsid w:val="00586D01"/>
    <w:rsid w:val="0059107B"/>
    <w:rsid w:val="005919D9"/>
    <w:rsid w:val="00591B2B"/>
    <w:rsid w:val="00591B93"/>
    <w:rsid w:val="00594CB3"/>
    <w:rsid w:val="00595036"/>
    <w:rsid w:val="005962B3"/>
    <w:rsid w:val="00596A02"/>
    <w:rsid w:val="00596A2D"/>
    <w:rsid w:val="00596A7F"/>
    <w:rsid w:val="005A1106"/>
    <w:rsid w:val="005A110D"/>
    <w:rsid w:val="005A1C52"/>
    <w:rsid w:val="005A2794"/>
    <w:rsid w:val="005A2938"/>
    <w:rsid w:val="005A2CDE"/>
    <w:rsid w:val="005A31FE"/>
    <w:rsid w:val="005A4699"/>
    <w:rsid w:val="005A4B9B"/>
    <w:rsid w:val="005A4F35"/>
    <w:rsid w:val="005A539C"/>
    <w:rsid w:val="005A59A1"/>
    <w:rsid w:val="005A5CF1"/>
    <w:rsid w:val="005A5D5D"/>
    <w:rsid w:val="005A5FA9"/>
    <w:rsid w:val="005A67C5"/>
    <w:rsid w:val="005A77E4"/>
    <w:rsid w:val="005B0849"/>
    <w:rsid w:val="005B1588"/>
    <w:rsid w:val="005B1D72"/>
    <w:rsid w:val="005B2205"/>
    <w:rsid w:val="005B25FF"/>
    <w:rsid w:val="005B32A8"/>
    <w:rsid w:val="005B4DE6"/>
    <w:rsid w:val="005B5027"/>
    <w:rsid w:val="005B5312"/>
    <w:rsid w:val="005B5A44"/>
    <w:rsid w:val="005B675E"/>
    <w:rsid w:val="005B690F"/>
    <w:rsid w:val="005B7073"/>
    <w:rsid w:val="005B74C4"/>
    <w:rsid w:val="005C07C4"/>
    <w:rsid w:val="005C0DDE"/>
    <w:rsid w:val="005C1371"/>
    <w:rsid w:val="005C1A04"/>
    <w:rsid w:val="005C23B0"/>
    <w:rsid w:val="005C3CAA"/>
    <w:rsid w:val="005C5400"/>
    <w:rsid w:val="005C5CA9"/>
    <w:rsid w:val="005C5D46"/>
    <w:rsid w:val="005C6695"/>
    <w:rsid w:val="005C6966"/>
    <w:rsid w:val="005C72C7"/>
    <w:rsid w:val="005C74C2"/>
    <w:rsid w:val="005D168B"/>
    <w:rsid w:val="005D2624"/>
    <w:rsid w:val="005D29CC"/>
    <w:rsid w:val="005D2ABA"/>
    <w:rsid w:val="005D3237"/>
    <w:rsid w:val="005D66AA"/>
    <w:rsid w:val="005E020C"/>
    <w:rsid w:val="005E083A"/>
    <w:rsid w:val="005E0A0D"/>
    <w:rsid w:val="005E0AEE"/>
    <w:rsid w:val="005E1956"/>
    <w:rsid w:val="005E1E43"/>
    <w:rsid w:val="005E5627"/>
    <w:rsid w:val="005E6343"/>
    <w:rsid w:val="005E73E1"/>
    <w:rsid w:val="005E745D"/>
    <w:rsid w:val="005F03B5"/>
    <w:rsid w:val="005F1B86"/>
    <w:rsid w:val="005F33E6"/>
    <w:rsid w:val="005F5116"/>
    <w:rsid w:val="005F5EED"/>
    <w:rsid w:val="005F7824"/>
    <w:rsid w:val="00600692"/>
    <w:rsid w:val="00600805"/>
    <w:rsid w:val="00602B03"/>
    <w:rsid w:val="00602BF9"/>
    <w:rsid w:val="0060367A"/>
    <w:rsid w:val="00604B66"/>
    <w:rsid w:val="00606CC3"/>
    <w:rsid w:val="0060766D"/>
    <w:rsid w:val="00607D21"/>
    <w:rsid w:val="006102E4"/>
    <w:rsid w:val="0061090B"/>
    <w:rsid w:val="00611730"/>
    <w:rsid w:val="006123F5"/>
    <w:rsid w:val="00612510"/>
    <w:rsid w:val="00613C9E"/>
    <w:rsid w:val="006141DB"/>
    <w:rsid w:val="006143C8"/>
    <w:rsid w:val="00614C9E"/>
    <w:rsid w:val="006162C2"/>
    <w:rsid w:val="006171F1"/>
    <w:rsid w:val="0061785C"/>
    <w:rsid w:val="0062003C"/>
    <w:rsid w:val="00620AE6"/>
    <w:rsid w:val="006216E7"/>
    <w:rsid w:val="006219BB"/>
    <w:rsid w:val="00621AFF"/>
    <w:rsid w:val="00622920"/>
    <w:rsid w:val="0062343E"/>
    <w:rsid w:val="00623B9B"/>
    <w:rsid w:val="00623C5A"/>
    <w:rsid w:val="0062416B"/>
    <w:rsid w:val="00624287"/>
    <w:rsid w:val="006257E4"/>
    <w:rsid w:val="006259D6"/>
    <w:rsid w:val="00626F13"/>
    <w:rsid w:val="00626FC9"/>
    <w:rsid w:val="0062717F"/>
    <w:rsid w:val="0063043B"/>
    <w:rsid w:val="0063056B"/>
    <w:rsid w:val="00630B0C"/>
    <w:rsid w:val="00631DD8"/>
    <w:rsid w:val="006332DB"/>
    <w:rsid w:val="00634140"/>
    <w:rsid w:val="006346CA"/>
    <w:rsid w:val="0063488F"/>
    <w:rsid w:val="0063494F"/>
    <w:rsid w:val="0063508A"/>
    <w:rsid w:val="0063572D"/>
    <w:rsid w:val="006357C6"/>
    <w:rsid w:val="00636C20"/>
    <w:rsid w:val="006373A7"/>
    <w:rsid w:val="00637A8E"/>
    <w:rsid w:val="00637A94"/>
    <w:rsid w:val="00637AA0"/>
    <w:rsid w:val="0064221B"/>
    <w:rsid w:val="006422F7"/>
    <w:rsid w:val="0064400D"/>
    <w:rsid w:val="00644C36"/>
    <w:rsid w:val="00644EDE"/>
    <w:rsid w:val="00646731"/>
    <w:rsid w:val="00647772"/>
    <w:rsid w:val="00650AB0"/>
    <w:rsid w:val="00650D87"/>
    <w:rsid w:val="006519AB"/>
    <w:rsid w:val="00651C3A"/>
    <w:rsid w:val="00652337"/>
    <w:rsid w:val="00652600"/>
    <w:rsid w:val="00652E44"/>
    <w:rsid w:val="00654222"/>
    <w:rsid w:val="00654EAC"/>
    <w:rsid w:val="0065516F"/>
    <w:rsid w:val="0065571F"/>
    <w:rsid w:val="00655841"/>
    <w:rsid w:val="00656497"/>
    <w:rsid w:val="006612FE"/>
    <w:rsid w:val="006615CB"/>
    <w:rsid w:val="00662696"/>
    <w:rsid w:val="00662883"/>
    <w:rsid w:val="006630F3"/>
    <w:rsid w:val="00663CAB"/>
    <w:rsid w:val="0066421F"/>
    <w:rsid w:val="006644F5"/>
    <w:rsid w:val="00664F2C"/>
    <w:rsid w:val="00665BF4"/>
    <w:rsid w:val="00665D82"/>
    <w:rsid w:val="006662B0"/>
    <w:rsid w:val="0066680D"/>
    <w:rsid w:val="006668B0"/>
    <w:rsid w:val="00666B19"/>
    <w:rsid w:val="006679D2"/>
    <w:rsid w:val="0067042B"/>
    <w:rsid w:val="0067129F"/>
    <w:rsid w:val="0067130A"/>
    <w:rsid w:val="006714E7"/>
    <w:rsid w:val="006726C5"/>
    <w:rsid w:val="00673214"/>
    <w:rsid w:val="00673259"/>
    <w:rsid w:val="006736C6"/>
    <w:rsid w:val="00673FFC"/>
    <w:rsid w:val="00674201"/>
    <w:rsid w:val="0067442F"/>
    <w:rsid w:val="006748B7"/>
    <w:rsid w:val="00675BE1"/>
    <w:rsid w:val="00675D5C"/>
    <w:rsid w:val="00680177"/>
    <w:rsid w:val="00680F3D"/>
    <w:rsid w:val="00680F51"/>
    <w:rsid w:val="006814E7"/>
    <w:rsid w:val="0068209B"/>
    <w:rsid w:val="006826E6"/>
    <w:rsid w:val="00683163"/>
    <w:rsid w:val="00683270"/>
    <w:rsid w:val="00683AB5"/>
    <w:rsid w:val="00684874"/>
    <w:rsid w:val="00684B6C"/>
    <w:rsid w:val="00684D85"/>
    <w:rsid w:val="00684E35"/>
    <w:rsid w:val="00684E5A"/>
    <w:rsid w:val="00685C14"/>
    <w:rsid w:val="00685DE7"/>
    <w:rsid w:val="006868B2"/>
    <w:rsid w:val="006913F5"/>
    <w:rsid w:val="0069171C"/>
    <w:rsid w:val="00692941"/>
    <w:rsid w:val="00692960"/>
    <w:rsid w:val="00692CC5"/>
    <w:rsid w:val="00693507"/>
    <w:rsid w:val="00694789"/>
    <w:rsid w:val="006948BB"/>
    <w:rsid w:val="00694C41"/>
    <w:rsid w:val="006954B0"/>
    <w:rsid w:val="00695B95"/>
    <w:rsid w:val="00696081"/>
    <w:rsid w:val="006962EC"/>
    <w:rsid w:val="00696A2D"/>
    <w:rsid w:val="00697A71"/>
    <w:rsid w:val="006A005C"/>
    <w:rsid w:val="006A1744"/>
    <w:rsid w:val="006A1946"/>
    <w:rsid w:val="006A26BB"/>
    <w:rsid w:val="006A34B1"/>
    <w:rsid w:val="006A413C"/>
    <w:rsid w:val="006A4280"/>
    <w:rsid w:val="006A4576"/>
    <w:rsid w:val="006A4AAD"/>
    <w:rsid w:val="006A5294"/>
    <w:rsid w:val="006A786C"/>
    <w:rsid w:val="006A7EE9"/>
    <w:rsid w:val="006B01E4"/>
    <w:rsid w:val="006B03E5"/>
    <w:rsid w:val="006B09B4"/>
    <w:rsid w:val="006B2D13"/>
    <w:rsid w:val="006B3104"/>
    <w:rsid w:val="006B6FCA"/>
    <w:rsid w:val="006B7522"/>
    <w:rsid w:val="006B795B"/>
    <w:rsid w:val="006C03B1"/>
    <w:rsid w:val="006C08A3"/>
    <w:rsid w:val="006C4300"/>
    <w:rsid w:val="006C4429"/>
    <w:rsid w:val="006C4587"/>
    <w:rsid w:val="006C5455"/>
    <w:rsid w:val="006C5AE1"/>
    <w:rsid w:val="006C5B7D"/>
    <w:rsid w:val="006C76EF"/>
    <w:rsid w:val="006D0315"/>
    <w:rsid w:val="006D0B5C"/>
    <w:rsid w:val="006D0C72"/>
    <w:rsid w:val="006D1E9B"/>
    <w:rsid w:val="006D1EA2"/>
    <w:rsid w:val="006D2E5E"/>
    <w:rsid w:val="006D3694"/>
    <w:rsid w:val="006D4522"/>
    <w:rsid w:val="006D5847"/>
    <w:rsid w:val="006D5F79"/>
    <w:rsid w:val="006D610D"/>
    <w:rsid w:val="006D619C"/>
    <w:rsid w:val="006D647F"/>
    <w:rsid w:val="006D6A42"/>
    <w:rsid w:val="006D6FCC"/>
    <w:rsid w:val="006E03B5"/>
    <w:rsid w:val="006E0541"/>
    <w:rsid w:val="006E0B13"/>
    <w:rsid w:val="006E0C54"/>
    <w:rsid w:val="006E1356"/>
    <w:rsid w:val="006E1458"/>
    <w:rsid w:val="006E29F8"/>
    <w:rsid w:val="006E395E"/>
    <w:rsid w:val="006E47EC"/>
    <w:rsid w:val="006E523F"/>
    <w:rsid w:val="006E5734"/>
    <w:rsid w:val="006E597E"/>
    <w:rsid w:val="006E65D0"/>
    <w:rsid w:val="006E6698"/>
    <w:rsid w:val="006E6FCE"/>
    <w:rsid w:val="006E7756"/>
    <w:rsid w:val="006E7E3A"/>
    <w:rsid w:val="006F0F9C"/>
    <w:rsid w:val="006F1026"/>
    <w:rsid w:val="006F251D"/>
    <w:rsid w:val="006F2AFF"/>
    <w:rsid w:val="006F313A"/>
    <w:rsid w:val="006F34E0"/>
    <w:rsid w:val="006F3766"/>
    <w:rsid w:val="006F37F9"/>
    <w:rsid w:val="006F407E"/>
    <w:rsid w:val="006F40EC"/>
    <w:rsid w:val="006F438C"/>
    <w:rsid w:val="006F4C77"/>
    <w:rsid w:val="006F4F91"/>
    <w:rsid w:val="006F5331"/>
    <w:rsid w:val="006F63D7"/>
    <w:rsid w:val="006F73AB"/>
    <w:rsid w:val="006F7CDD"/>
    <w:rsid w:val="00700D31"/>
    <w:rsid w:val="0070139B"/>
    <w:rsid w:val="00701A5C"/>
    <w:rsid w:val="00701F71"/>
    <w:rsid w:val="007027C7"/>
    <w:rsid w:val="00702A79"/>
    <w:rsid w:val="00702C27"/>
    <w:rsid w:val="00703CCD"/>
    <w:rsid w:val="007050E9"/>
    <w:rsid w:val="00705CF5"/>
    <w:rsid w:val="00705DAA"/>
    <w:rsid w:val="00705E87"/>
    <w:rsid w:val="007071E9"/>
    <w:rsid w:val="00710714"/>
    <w:rsid w:val="007109B7"/>
    <w:rsid w:val="00711C3B"/>
    <w:rsid w:val="0071214D"/>
    <w:rsid w:val="007122D5"/>
    <w:rsid w:val="00713CBD"/>
    <w:rsid w:val="00714E84"/>
    <w:rsid w:val="00715364"/>
    <w:rsid w:val="00715460"/>
    <w:rsid w:val="00716C6A"/>
    <w:rsid w:val="0071722C"/>
    <w:rsid w:val="00717568"/>
    <w:rsid w:val="007175A0"/>
    <w:rsid w:val="00720572"/>
    <w:rsid w:val="00721897"/>
    <w:rsid w:val="00721A7A"/>
    <w:rsid w:val="007227E2"/>
    <w:rsid w:val="00722C05"/>
    <w:rsid w:val="00723632"/>
    <w:rsid w:val="007242D9"/>
    <w:rsid w:val="00724F9B"/>
    <w:rsid w:val="00724FB6"/>
    <w:rsid w:val="0072517D"/>
    <w:rsid w:val="00725796"/>
    <w:rsid w:val="00725B27"/>
    <w:rsid w:val="00727648"/>
    <w:rsid w:val="00730481"/>
    <w:rsid w:val="00730BE2"/>
    <w:rsid w:val="00731132"/>
    <w:rsid w:val="0073210C"/>
    <w:rsid w:val="007327F2"/>
    <w:rsid w:val="00732B15"/>
    <w:rsid w:val="00732DC6"/>
    <w:rsid w:val="00733194"/>
    <w:rsid w:val="007333C0"/>
    <w:rsid w:val="007339B3"/>
    <w:rsid w:val="00734F88"/>
    <w:rsid w:val="00735718"/>
    <w:rsid w:val="00736D95"/>
    <w:rsid w:val="007370CF"/>
    <w:rsid w:val="00737262"/>
    <w:rsid w:val="0073786B"/>
    <w:rsid w:val="00737B58"/>
    <w:rsid w:val="00740C9A"/>
    <w:rsid w:val="00740FC8"/>
    <w:rsid w:val="00741432"/>
    <w:rsid w:val="00742690"/>
    <w:rsid w:val="00742C1A"/>
    <w:rsid w:val="007439BE"/>
    <w:rsid w:val="00743E88"/>
    <w:rsid w:val="00743EAB"/>
    <w:rsid w:val="007441B2"/>
    <w:rsid w:val="007442AF"/>
    <w:rsid w:val="00744373"/>
    <w:rsid w:val="00744A74"/>
    <w:rsid w:val="007459D1"/>
    <w:rsid w:val="00745D7C"/>
    <w:rsid w:val="00745EEF"/>
    <w:rsid w:val="00746B31"/>
    <w:rsid w:val="00746FD0"/>
    <w:rsid w:val="0075113C"/>
    <w:rsid w:val="007512CC"/>
    <w:rsid w:val="0075157D"/>
    <w:rsid w:val="007515D4"/>
    <w:rsid w:val="00751FEC"/>
    <w:rsid w:val="0075314A"/>
    <w:rsid w:val="007531A0"/>
    <w:rsid w:val="0075399F"/>
    <w:rsid w:val="00753F54"/>
    <w:rsid w:val="00754EDD"/>
    <w:rsid w:val="00755297"/>
    <w:rsid w:val="0075534A"/>
    <w:rsid w:val="007561C6"/>
    <w:rsid w:val="0075629F"/>
    <w:rsid w:val="00756E09"/>
    <w:rsid w:val="00757AF3"/>
    <w:rsid w:val="00760C04"/>
    <w:rsid w:val="00761233"/>
    <w:rsid w:val="00761800"/>
    <w:rsid w:val="007619C2"/>
    <w:rsid w:val="00761B30"/>
    <w:rsid w:val="00762348"/>
    <w:rsid w:val="00762A02"/>
    <w:rsid w:val="0076396D"/>
    <w:rsid w:val="00763B8D"/>
    <w:rsid w:val="00764A88"/>
    <w:rsid w:val="00764BF9"/>
    <w:rsid w:val="007653F4"/>
    <w:rsid w:val="007655B4"/>
    <w:rsid w:val="00765990"/>
    <w:rsid w:val="007665C7"/>
    <w:rsid w:val="007669DE"/>
    <w:rsid w:val="007672ED"/>
    <w:rsid w:val="0076775A"/>
    <w:rsid w:val="00770239"/>
    <w:rsid w:val="00770C71"/>
    <w:rsid w:val="00771096"/>
    <w:rsid w:val="0077118F"/>
    <w:rsid w:val="007716B6"/>
    <w:rsid w:val="00771AFE"/>
    <w:rsid w:val="00773119"/>
    <w:rsid w:val="00773E69"/>
    <w:rsid w:val="007743AC"/>
    <w:rsid w:val="00774CA5"/>
    <w:rsid w:val="00774E6D"/>
    <w:rsid w:val="00775588"/>
    <w:rsid w:val="00775714"/>
    <w:rsid w:val="00776127"/>
    <w:rsid w:val="0077636C"/>
    <w:rsid w:val="00777CEC"/>
    <w:rsid w:val="007805F0"/>
    <w:rsid w:val="00780707"/>
    <w:rsid w:val="0078071D"/>
    <w:rsid w:val="00780ADC"/>
    <w:rsid w:val="00780C88"/>
    <w:rsid w:val="00781F42"/>
    <w:rsid w:val="0078231E"/>
    <w:rsid w:val="0078247D"/>
    <w:rsid w:val="0078251E"/>
    <w:rsid w:val="00782B2E"/>
    <w:rsid w:val="00782ED9"/>
    <w:rsid w:val="00783CE8"/>
    <w:rsid w:val="0078471C"/>
    <w:rsid w:val="00784A4A"/>
    <w:rsid w:val="0078510A"/>
    <w:rsid w:val="00785C2B"/>
    <w:rsid w:val="007900C1"/>
    <w:rsid w:val="00790443"/>
    <w:rsid w:val="007906DA"/>
    <w:rsid w:val="00790D5A"/>
    <w:rsid w:val="007913BF"/>
    <w:rsid w:val="00791892"/>
    <w:rsid w:val="00791D07"/>
    <w:rsid w:val="007922E8"/>
    <w:rsid w:val="00792322"/>
    <w:rsid w:val="00792718"/>
    <w:rsid w:val="00792922"/>
    <w:rsid w:val="00792A72"/>
    <w:rsid w:val="00792B22"/>
    <w:rsid w:val="00792B6D"/>
    <w:rsid w:val="00792C20"/>
    <w:rsid w:val="00793145"/>
    <w:rsid w:val="007948EF"/>
    <w:rsid w:val="0079516A"/>
    <w:rsid w:val="0079519E"/>
    <w:rsid w:val="00795257"/>
    <w:rsid w:val="007964C9"/>
    <w:rsid w:val="00796F22"/>
    <w:rsid w:val="00797A79"/>
    <w:rsid w:val="00797CEA"/>
    <w:rsid w:val="00797DBF"/>
    <w:rsid w:val="007A034D"/>
    <w:rsid w:val="007A0C51"/>
    <w:rsid w:val="007A0C81"/>
    <w:rsid w:val="007A0EF2"/>
    <w:rsid w:val="007A12C8"/>
    <w:rsid w:val="007A2B62"/>
    <w:rsid w:val="007A399C"/>
    <w:rsid w:val="007A4568"/>
    <w:rsid w:val="007A646A"/>
    <w:rsid w:val="007B004E"/>
    <w:rsid w:val="007B04BF"/>
    <w:rsid w:val="007B0682"/>
    <w:rsid w:val="007B071B"/>
    <w:rsid w:val="007B0874"/>
    <w:rsid w:val="007B0FA1"/>
    <w:rsid w:val="007B2041"/>
    <w:rsid w:val="007B23FE"/>
    <w:rsid w:val="007B2456"/>
    <w:rsid w:val="007B303B"/>
    <w:rsid w:val="007B425F"/>
    <w:rsid w:val="007B4664"/>
    <w:rsid w:val="007B533B"/>
    <w:rsid w:val="007B5698"/>
    <w:rsid w:val="007B5C27"/>
    <w:rsid w:val="007B6623"/>
    <w:rsid w:val="007B6811"/>
    <w:rsid w:val="007B6CF7"/>
    <w:rsid w:val="007B6DC4"/>
    <w:rsid w:val="007B70C1"/>
    <w:rsid w:val="007B7C9B"/>
    <w:rsid w:val="007C05CD"/>
    <w:rsid w:val="007C05E5"/>
    <w:rsid w:val="007C0C3B"/>
    <w:rsid w:val="007C0CB7"/>
    <w:rsid w:val="007C1896"/>
    <w:rsid w:val="007C480B"/>
    <w:rsid w:val="007C48B5"/>
    <w:rsid w:val="007C5D5D"/>
    <w:rsid w:val="007C63EB"/>
    <w:rsid w:val="007C6F7C"/>
    <w:rsid w:val="007C6FE0"/>
    <w:rsid w:val="007C7B2D"/>
    <w:rsid w:val="007C7D27"/>
    <w:rsid w:val="007C7F8D"/>
    <w:rsid w:val="007D0437"/>
    <w:rsid w:val="007D0C9E"/>
    <w:rsid w:val="007D106C"/>
    <w:rsid w:val="007D1DE9"/>
    <w:rsid w:val="007D2151"/>
    <w:rsid w:val="007D2BB4"/>
    <w:rsid w:val="007D396B"/>
    <w:rsid w:val="007D3D4C"/>
    <w:rsid w:val="007D4982"/>
    <w:rsid w:val="007D4BB5"/>
    <w:rsid w:val="007D4D2C"/>
    <w:rsid w:val="007D53AA"/>
    <w:rsid w:val="007D5781"/>
    <w:rsid w:val="007D5CCC"/>
    <w:rsid w:val="007D603E"/>
    <w:rsid w:val="007D664F"/>
    <w:rsid w:val="007D6A61"/>
    <w:rsid w:val="007D71BF"/>
    <w:rsid w:val="007E06EA"/>
    <w:rsid w:val="007E0A97"/>
    <w:rsid w:val="007E0FC1"/>
    <w:rsid w:val="007E124C"/>
    <w:rsid w:val="007E16E7"/>
    <w:rsid w:val="007E1F53"/>
    <w:rsid w:val="007E2EA9"/>
    <w:rsid w:val="007E3699"/>
    <w:rsid w:val="007E46E7"/>
    <w:rsid w:val="007E5E2E"/>
    <w:rsid w:val="007E74B1"/>
    <w:rsid w:val="007E791C"/>
    <w:rsid w:val="007F0AB5"/>
    <w:rsid w:val="007F16DC"/>
    <w:rsid w:val="007F175E"/>
    <w:rsid w:val="007F1BC5"/>
    <w:rsid w:val="007F1E1D"/>
    <w:rsid w:val="007F2C29"/>
    <w:rsid w:val="007F546A"/>
    <w:rsid w:val="007F54C9"/>
    <w:rsid w:val="007F563A"/>
    <w:rsid w:val="007F6189"/>
    <w:rsid w:val="007F6BC6"/>
    <w:rsid w:val="00800710"/>
    <w:rsid w:val="00800ABE"/>
    <w:rsid w:val="00800E7C"/>
    <w:rsid w:val="008011D9"/>
    <w:rsid w:val="0080122B"/>
    <w:rsid w:val="00801578"/>
    <w:rsid w:val="008018C9"/>
    <w:rsid w:val="00801921"/>
    <w:rsid w:val="00803714"/>
    <w:rsid w:val="00804258"/>
    <w:rsid w:val="00804A91"/>
    <w:rsid w:val="008055AF"/>
    <w:rsid w:val="00805D0B"/>
    <w:rsid w:val="00806038"/>
    <w:rsid w:val="00806082"/>
    <w:rsid w:val="008061D7"/>
    <w:rsid w:val="00807AFC"/>
    <w:rsid w:val="00807ED5"/>
    <w:rsid w:val="008111B4"/>
    <w:rsid w:val="00811AF4"/>
    <w:rsid w:val="00811B44"/>
    <w:rsid w:val="008121AF"/>
    <w:rsid w:val="008121BD"/>
    <w:rsid w:val="0081306E"/>
    <w:rsid w:val="00813218"/>
    <w:rsid w:val="008142AD"/>
    <w:rsid w:val="008144C4"/>
    <w:rsid w:val="00814E88"/>
    <w:rsid w:val="00815411"/>
    <w:rsid w:val="008156B0"/>
    <w:rsid w:val="00815944"/>
    <w:rsid w:val="00815987"/>
    <w:rsid w:val="00815D8C"/>
    <w:rsid w:val="00816AF1"/>
    <w:rsid w:val="0081718C"/>
    <w:rsid w:val="0082075B"/>
    <w:rsid w:val="00820CD1"/>
    <w:rsid w:val="00821420"/>
    <w:rsid w:val="00821466"/>
    <w:rsid w:val="00821475"/>
    <w:rsid w:val="00823C3B"/>
    <w:rsid w:val="00825392"/>
    <w:rsid w:val="00826895"/>
    <w:rsid w:val="00826A21"/>
    <w:rsid w:val="00827322"/>
    <w:rsid w:val="008275B7"/>
    <w:rsid w:val="00827A28"/>
    <w:rsid w:val="008306F4"/>
    <w:rsid w:val="008329F7"/>
    <w:rsid w:val="00832D89"/>
    <w:rsid w:val="008333A7"/>
    <w:rsid w:val="0083354C"/>
    <w:rsid w:val="00833B92"/>
    <w:rsid w:val="00833CC6"/>
    <w:rsid w:val="00833CD5"/>
    <w:rsid w:val="00833F2F"/>
    <w:rsid w:val="008342AF"/>
    <w:rsid w:val="00834A3A"/>
    <w:rsid w:val="00835DDF"/>
    <w:rsid w:val="00836B2D"/>
    <w:rsid w:val="00836E87"/>
    <w:rsid w:val="008410E6"/>
    <w:rsid w:val="00841418"/>
    <w:rsid w:val="00841BF1"/>
    <w:rsid w:val="00841E88"/>
    <w:rsid w:val="008420B1"/>
    <w:rsid w:val="00843E76"/>
    <w:rsid w:val="008453DC"/>
    <w:rsid w:val="00845D8F"/>
    <w:rsid w:val="008463E3"/>
    <w:rsid w:val="008476C5"/>
    <w:rsid w:val="00850840"/>
    <w:rsid w:val="00850F50"/>
    <w:rsid w:val="008511CC"/>
    <w:rsid w:val="00852002"/>
    <w:rsid w:val="008521D7"/>
    <w:rsid w:val="008523F7"/>
    <w:rsid w:val="00853031"/>
    <w:rsid w:val="008538DD"/>
    <w:rsid w:val="008544A8"/>
    <w:rsid w:val="00854E41"/>
    <w:rsid w:val="00854EC0"/>
    <w:rsid w:val="00854F0C"/>
    <w:rsid w:val="00855092"/>
    <w:rsid w:val="00855A54"/>
    <w:rsid w:val="00855F53"/>
    <w:rsid w:val="00857832"/>
    <w:rsid w:val="00857A33"/>
    <w:rsid w:val="00857C17"/>
    <w:rsid w:val="00857CC8"/>
    <w:rsid w:val="00857E76"/>
    <w:rsid w:val="00860210"/>
    <w:rsid w:val="008609A9"/>
    <w:rsid w:val="00860E07"/>
    <w:rsid w:val="0086155F"/>
    <w:rsid w:val="00861964"/>
    <w:rsid w:val="008625B3"/>
    <w:rsid w:val="00862DAF"/>
    <w:rsid w:val="00862F44"/>
    <w:rsid w:val="0086357D"/>
    <w:rsid w:val="0086371B"/>
    <w:rsid w:val="00865058"/>
    <w:rsid w:val="00865DCA"/>
    <w:rsid w:val="00865F2D"/>
    <w:rsid w:val="008667F6"/>
    <w:rsid w:val="00866AD9"/>
    <w:rsid w:val="00867164"/>
    <w:rsid w:val="00870A42"/>
    <w:rsid w:val="00872517"/>
    <w:rsid w:val="0087253F"/>
    <w:rsid w:val="008728DE"/>
    <w:rsid w:val="00872FA7"/>
    <w:rsid w:val="00873BEA"/>
    <w:rsid w:val="00873F6E"/>
    <w:rsid w:val="00874233"/>
    <w:rsid w:val="00874DDF"/>
    <w:rsid w:val="00880AC0"/>
    <w:rsid w:val="008815B5"/>
    <w:rsid w:val="00882C86"/>
    <w:rsid w:val="008830CD"/>
    <w:rsid w:val="00883E60"/>
    <w:rsid w:val="008841D3"/>
    <w:rsid w:val="008844C4"/>
    <w:rsid w:val="00884657"/>
    <w:rsid w:val="0088507F"/>
    <w:rsid w:val="0088523B"/>
    <w:rsid w:val="00885CEC"/>
    <w:rsid w:val="00886066"/>
    <w:rsid w:val="00887D06"/>
    <w:rsid w:val="00890C82"/>
    <w:rsid w:val="00890DD8"/>
    <w:rsid w:val="00891166"/>
    <w:rsid w:val="008917AA"/>
    <w:rsid w:val="00891B15"/>
    <w:rsid w:val="00891D4A"/>
    <w:rsid w:val="00891DA1"/>
    <w:rsid w:val="00891EBB"/>
    <w:rsid w:val="00892658"/>
    <w:rsid w:val="0089272F"/>
    <w:rsid w:val="0089349F"/>
    <w:rsid w:val="0089486C"/>
    <w:rsid w:val="00894B9F"/>
    <w:rsid w:val="00894C97"/>
    <w:rsid w:val="008954AE"/>
    <w:rsid w:val="00895B41"/>
    <w:rsid w:val="00895C75"/>
    <w:rsid w:val="00895F73"/>
    <w:rsid w:val="00896423"/>
    <w:rsid w:val="00896430"/>
    <w:rsid w:val="00896D8C"/>
    <w:rsid w:val="0089746A"/>
    <w:rsid w:val="00897922"/>
    <w:rsid w:val="00897D82"/>
    <w:rsid w:val="00897E2B"/>
    <w:rsid w:val="008A0430"/>
    <w:rsid w:val="008A0714"/>
    <w:rsid w:val="008A19EF"/>
    <w:rsid w:val="008A2695"/>
    <w:rsid w:val="008A326A"/>
    <w:rsid w:val="008A32E4"/>
    <w:rsid w:val="008A47C9"/>
    <w:rsid w:val="008A546C"/>
    <w:rsid w:val="008A680C"/>
    <w:rsid w:val="008A6B45"/>
    <w:rsid w:val="008A7002"/>
    <w:rsid w:val="008A72DF"/>
    <w:rsid w:val="008A7E97"/>
    <w:rsid w:val="008B0396"/>
    <w:rsid w:val="008B0958"/>
    <w:rsid w:val="008B0B94"/>
    <w:rsid w:val="008B0DE0"/>
    <w:rsid w:val="008B1CBC"/>
    <w:rsid w:val="008B28C1"/>
    <w:rsid w:val="008B2BC7"/>
    <w:rsid w:val="008B2D08"/>
    <w:rsid w:val="008B2E0F"/>
    <w:rsid w:val="008B3092"/>
    <w:rsid w:val="008B3A9C"/>
    <w:rsid w:val="008B3C17"/>
    <w:rsid w:val="008B4115"/>
    <w:rsid w:val="008B5047"/>
    <w:rsid w:val="008B50CE"/>
    <w:rsid w:val="008B5113"/>
    <w:rsid w:val="008B5639"/>
    <w:rsid w:val="008B5660"/>
    <w:rsid w:val="008B797E"/>
    <w:rsid w:val="008C0614"/>
    <w:rsid w:val="008C0BBC"/>
    <w:rsid w:val="008C1BBE"/>
    <w:rsid w:val="008C2360"/>
    <w:rsid w:val="008C3796"/>
    <w:rsid w:val="008C4843"/>
    <w:rsid w:val="008C626E"/>
    <w:rsid w:val="008C664F"/>
    <w:rsid w:val="008D0741"/>
    <w:rsid w:val="008D12EC"/>
    <w:rsid w:val="008D1C4D"/>
    <w:rsid w:val="008D2128"/>
    <w:rsid w:val="008D24E9"/>
    <w:rsid w:val="008D2512"/>
    <w:rsid w:val="008D2683"/>
    <w:rsid w:val="008D3568"/>
    <w:rsid w:val="008D3D56"/>
    <w:rsid w:val="008D46ED"/>
    <w:rsid w:val="008D60A4"/>
    <w:rsid w:val="008D6F23"/>
    <w:rsid w:val="008D7789"/>
    <w:rsid w:val="008E0804"/>
    <w:rsid w:val="008E1061"/>
    <w:rsid w:val="008E1303"/>
    <w:rsid w:val="008E1C28"/>
    <w:rsid w:val="008E1E87"/>
    <w:rsid w:val="008E202F"/>
    <w:rsid w:val="008E3198"/>
    <w:rsid w:val="008E3236"/>
    <w:rsid w:val="008E32CE"/>
    <w:rsid w:val="008E537B"/>
    <w:rsid w:val="008E5648"/>
    <w:rsid w:val="008E5DDD"/>
    <w:rsid w:val="008E5F33"/>
    <w:rsid w:val="008E6009"/>
    <w:rsid w:val="008E66BF"/>
    <w:rsid w:val="008E6D39"/>
    <w:rsid w:val="008E7133"/>
    <w:rsid w:val="008E724B"/>
    <w:rsid w:val="008F038E"/>
    <w:rsid w:val="008F047D"/>
    <w:rsid w:val="008F04BC"/>
    <w:rsid w:val="008F1C27"/>
    <w:rsid w:val="008F1D25"/>
    <w:rsid w:val="008F2E3B"/>
    <w:rsid w:val="008F2F0B"/>
    <w:rsid w:val="008F32D2"/>
    <w:rsid w:val="008F4D2A"/>
    <w:rsid w:val="008F5418"/>
    <w:rsid w:val="008F57D9"/>
    <w:rsid w:val="008F5F61"/>
    <w:rsid w:val="00900050"/>
    <w:rsid w:val="00900624"/>
    <w:rsid w:val="00900898"/>
    <w:rsid w:val="00901518"/>
    <w:rsid w:val="00901723"/>
    <w:rsid w:val="009024F3"/>
    <w:rsid w:val="0090274C"/>
    <w:rsid w:val="00902A36"/>
    <w:rsid w:val="00902B0A"/>
    <w:rsid w:val="00903C99"/>
    <w:rsid w:val="00904EC0"/>
    <w:rsid w:val="009056CB"/>
    <w:rsid w:val="00905F53"/>
    <w:rsid w:val="00907014"/>
    <w:rsid w:val="00907688"/>
    <w:rsid w:val="009077C7"/>
    <w:rsid w:val="0090785A"/>
    <w:rsid w:val="00907F86"/>
    <w:rsid w:val="009106EA"/>
    <w:rsid w:val="009110AA"/>
    <w:rsid w:val="0091245B"/>
    <w:rsid w:val="009128EE"/>
    <w:rsid w:val="009137C2"/>
    <w:rsid w:val="00914603"/>
    <w:rsid w:val="00916C05"/>
    <w:rsid w:val="009173F7"/>
    <w:rsid w:val="00917F47"/>
    <w:rsid w:val="00920CA9"/>
    <w:rsid w:val="0092179A"/>
    <w:rsid w:val="00921B8E"/>
    <w:rsid w:val="00921C9B"/>
    <w:rsid w:val="00922E97"/>
    <w:rsid w:val="009231FD"/>
    <w:rsid w:val="009239ED"/>
    <w:rsid w:val="009259E9"/>
    <w:rsid w:val="00927E63"/>
    <w:rsid w:val="0093006B"/>
    <w:rsid w:val="00930A57"/>
    <w:rsid w:val="00930D06"/>
    <w:rsid w:val="00931095"/>
    <w:rsid w:val="009310BF"/>
    <w:rsid w:val="009319A4"/>
    <w:rsid w:val="00931A73"/>
    <w:rsid w:val="00931ABC"/>
    <w:rsid w:val="00931F53"/>
    <w:rsid w:val="009324AE"/>
    <w:rsid w:val="00932FD1"/>
    <w:rsid w:val="00933C97"/>
    <w:rsid w:val="0093598D"/>
    <w:rsid w:val="00935F14"/>
    <w:rsid w:val="00936127"/>
    <w:rsid w:val="00936BD5"/>
    <w:rsid w:val="00936E5F"/>
    <w:rsid w:val="0093703B"/>
    <w:rsid w:val="00940077"/>
    <w:rsid w:val="009400A6"/>
    <w:rsid w:val="0094072B"/>
    <w:rsid w:val="00940DDB"/>
    <w:rsid w:val="0094142D"/>
    <w:rsid w:val="00941A85"/>
    <w:rsid w:val="00941D8F"/>
    <w:rsid w:val="00942848"/>
    <w:rsid w:val="00943BB6"/>
    <w:rsid w:val="00944975"/>
    <w:rsid w:val="00945431"/>
    <w:rsid w:val="009456AB"/>
    <w:rsid w:val="00945CC4"/>
    <w:rsid w:val="0094601F"/>
    <w:rsid w:val="00946860"/>
    <w:rsid w:val="009468DB"/>
    <w:rsid w:val="009475B7"/>
    <w:rsid w:val="00947B5A"/>
    <w:rsid w:val="00947DBD"/>
    <w:rsid w:val="00947FE0"/>
    <w:rsid w:val="0095027D"/>
    <w:rsid w:val="0095037E"/>
    <w:rsid w:val="0095086E"/>
    <w:rsid w:val="00950EB8"/>
    <w:rsid w:val="009514A7"/>
    <w:rsid w:val="00952136"/>
    <w:rsid w:val="009522C0"/>
    <w:rsid w:val="00952322"/>
    <w:rsid w:val="00952D53"/>
    <w:rsid w:val="00953AE7"/>
    <w:rsid w:val="0095436D"/>
    <w:rsid w:val="00955711"/>
    <w:rsid w:val="00957381"/>
    <w:rsid w:val="0096026F"/>
    <w:rsid w:val="00960A85"/>
    <w:rsid w:val="0096147A"/>
    <w:rsid w:val="00962C69"/>
    <w:rsid w:val="00962DE6"/>
    <w:rsid w:val="00963E38"/>
    <w:rsid w:val="00965C6B"/>
    <w:rsid w:val="00966955"/>
    <w:rsid w:val="009671B9"/>
    <w:rsid w:val="00970D36"/>
    <w:rsid w:val="00970EDB"/>
    <w:rsid w:val="009711F7"/>
    <w:rsid w:val="00971502"/>
    <w:rsid w:val="0097177A"/>
    <w:rsid w:val="009732EB"/>
    <w:rsid w:val="00973911"/>
    <w:rsid w:val="00973B83"/>
    <w:rsid w:val="00974247"/>
    <w:rsid w:val="009743A4"/>
    <w:rsid w:val="00974D78"/>
    <w:rsid w:val="009750EE"/>
    <w:rsid w:val="009755F2"/>
    <w:rsid w:val="00975A8F"/>
    <w:rsid w:val="00976333"/>
    <w:rsid w:val="009775C1"/>
    <w:rsid w:val="00977716"/>
    <w:rsid w:val="00977BC0"/>
    <w:rsid w:val="00977ECE"/>
    <w:rsid w:val="009801D1"/>
    <w:rsid w:val="00980852"/>
    <w:rsid w:val="00981466"/>
    <w:rsid w:val="00982086"/>
    <w:rsid w:val="009828FB"/>
    <w:rsid w:val="00982ACF"/>
    <w:rsid w:val="0098308D"/>
    <w:rsid w:val="009833D8"/>
    <w:rsid w:val="009840FD"/>
    <w:rsid w:val="009843C6"/>
    <w:rsid w:val="009847CB"/>
    <w:rsid w:val="00985A30"/>
    <w:rsid w:val="0098726A"/>
    <w:rsid w:val="0098729D"/>
    <w:rsid w:val="00987E9F"/>
    <w:rsid w:val="00990399"/>
    <w:rsid w:val="009903EB"/>
    <w:rsid w:val="009906B7"/>
    <w:rsid w:val="00991377"/>
    <w:rsid w:val="00991EA9"/>
    <w:rsid w:val="009945C4"/>
    <w:rsid w:val="00995386"/>
    <w:rsid w:val="009958F5"/>
    <w:rsid w:val="00995B47"/>
    <w:rsid w:val="00996243"/>
    <w:rsid w:val="00997E16"/>
    <w:rsid w:val="00997F61"/>
    <w:rsid w:val="009A0983"/>
    <w:rsid w:val="009A0FF0"/>
    <w:rsid w:val="009A14E3"/>
    <w:rsid w:val="009A29D0"/>
    <w:rsid w:val="009A3390"/>
    <w:rsid w:val="009A410B"/>
    <w:rsid w:val="009A4EFF"/>
    <w:rsid w:val="009A6C11"/>
    <w:rsid w:val="009A773B"/>
    <w:rsid w:val="009A7FE7"/>
    <w:rsid w:val="009B050F"/>
    <w:rsid w:val="009B07B3"/>
    <w:rsid w:val="009B0AAE"/>
    <w:rsid w:val="009B0C21"/>
    <w:rsid w:val="009B1742"/>
    <w:rsid w:val="009B1E6D"/>
    <w:rsid w:val="009B2372"/>
    <w:rsid w:val="009B27EC"/>
    <w:rsid w:val="009B28F7"/>
    <w:rsid w:val="009B2B84"/>
    <w:rsid w:val="009B377F"/>
    <w:rsid w:val="009B4345"/>
    <w:rsid w:val="009B4A9E"/>
    <w:rsid w:val="009B5165"/>
    <w:rsid w:val="009B57D3"/>
    <w:rsid w:val="009B5913"/>
    <w:rsid w:val="009B5B44"/>
    <w:rsid w:val="009B5F95"/>
    <w:rsid w:val="009B6478"/>
    <w:rsid w:val="009B66E8"/>
    <w:rsid w:val="009B6F79"/>
    <w:rsid w:val="009C02DE"/>
    <w:rsid w:val="009C09DF"/>
    <w:rsid w:val="009C1168"/>
    <w:rsid w:val="009C15CB"/>
    <w:rsid w:val="009C2467"/>
    <w:rsid w:val="009C2856"/>
    <w:rsid w:val="009C334C"/>
    <w:rsid w:val="009C3AD9"/>
    <w:rsid w:val="009C423F"/>
    <w:rsid w:val="009C48D5"/>
    <w:rsid w:val="009C4FDB"/>
    <w:rsid w:val="009C5FC4"/>
    <w:rsid w:val="009C6329"/>
    <w:rsid w:val="009C68DD"/>
    <w:rsid w:val="009C7961"/>
    <w:rsid w:val="009C7F31"/>
    <w:rsid w:val="009D11C8"/>
    <w:rsid w:val="009D1916"/>
    <w:rsid w:val="009D1BF9"/>
    <w:rsid w:val="009D2BF4"/>
    <w:rsid w:val="009D327C"/>
    <w:rsid w:val="009D32BF"/>
    <w:rsid w:val="009D330D"/>
    <w:rsid w:val="009D4584"/>
    <w:rsid w:val="009D5822"/>
    <w:rsid w:val="009D589A"/>
    <w:rsid w:val="009D5C40"/>
    <w:rsid w:val="009E0635"/>
    <w:rsid w:val="009E089B"/>
    <w:rsid w:val="009E1507"/>
    <w:rsid w:val="009E18F0"/>
    <w:rsid w:val="009E1F68"/>
    <w:rsid w:val="009E2053"/>
    <w:rsid w:val="009E235B"/>
    <w:rsid w:val="009E3143"/>
    <w:rsid w:val="009E3342"/>
    <w:rsid w:val="009E342C"/>
    <w:rsid w:val="009E3C3D"/>
    <w:rsid w:val="009E4B6E"/>
    <w:rsid w:val="009E4CA4"/>
    <w:rsid w:val="009E54A0"/>
    <w:rsid w:val="009E5520"/>
    <w:rsid w:val="009E56AA"/>
    <w:rsid w:val="009E5A1A"/>
    <w:rsid w:val="009E6977"/>
    <w:rsid w:val="009E6FBE"/>
    <w:rsid w:val="009E7A97"/>
    <w:rsid w:val="009F1772"/>
    <w:rsid w:val="009F2676"/>
    <w:rsid w:val="009F2FDB"/>
    <w:rsid w:val="009F3D61"/>
    <w:rsid w:val="009F4808"/>
    <w:rsid w:val="009F480A"/>
    <w:rsid w:val="009F5B34"/>
    <w:rsid w:val="009F6256"/>
    <w:rsid w:val="009F68BB"/>
    <w:rsid w:val="009F7171"/>
    <w:rsid w:val="009F79A1"/>
    <w:rsid w:val="00A01FF3"/>
    <w:rsid w:val="00A03353"/>
    <w:rsid w:val="00A03481"/>
    <w:rsid w:val="00A0349A"/>
    <w:rsid w:val="00A03DD1"/>
    <w:rsid w:val="00A06476"/>
    <w:rsid w:val="00A06CAF"/>
    <w:rsid w:val="00A073DD"/>
    <w:rsid w:val="00A07BC2"/>
    <w:rsid w:val="00A110F9"/>
    <w:rsid w:val="00A11A6C"/>
    <w:rsid w:val="00A13A82"/>
    <w:rsid w:val="00A1469A"/>
    <w:rsid w:val="00A14810"/>
    <w:rsid w:val="00A14A4F"/>
    <w:rsid w:val="00A164D5"/>
    <w:rsid w:val="00A176C7"/>
    <w:rsid w:val="00A176D8"/>
    <w:rsid w:val="00A2051C"/>
    <w:rsid w:val="00A20875"/>
    <w:rsid w:val="00A226B0"/>
    <w:rsid w:val="00A23112"/>
    <w:rsid w:val="00A235D2"/>
    <w:rsid w:val="00A23639"/>
    <w:rsid w:val="00A23C29"/>
    <w:rsid w:val="00A25481"/>
    <w:rsid w:val="00A25DF6"/>
    <w:rsid w:val="00A26EDE"/>
    <w:rsid w:val="00A26EEE"/>
    <w:rsid w:val="00A27DBB"/>
    <w:rsid w:val="00A30785"/>
    <w:rsid w:val="00A31596"/>
    <w:rsid w:val="00A31727"/>
    <w:rsid w:val="00A31AEE"/>
    <w:rsid w:val="00A322CC"/>
    <w:rsid w:val="00A32430"/>
    <w:rsid w:val="00A32BD7"/>
    <w:rsid w:val="00A32FD2"/>
    <w:rsid w:val="00A340F6"/>
    <w:rsid w:val="00A3493B"/>
    <w:rsid w:val="00A34B69"/>
    <w:rsid w:val="00A35523"/>
    <w:rsid w:val="00A3586B"/>
    <w:rsid w:val="00A35E04"/>
    <w:rsid w:val="00A366A0"/>
    <w:rsid w:val="00A36D08"/>
    <w:rsid w:val="00A36FD0"/>
    <w:rsid w:val="00A36FFE"/>
    <w:rsid w:val="00A37009"/>
    <w:rsid w:val="00A3706F"/>
    <w:rsid w:val="00A402FA"/>
    <w:rsid w:val="00A40614"/>
    <w:rsid w:val="00A4064B"/>
    <w:rsid w:val="00A4064F"/>
    <w:rsid w:val="00A40A8C"/>
    <w:rsid w:val="00A410A6"/>
    <w:rsid w:val="00A416DA"/>
    <w:rsid w:val="00A43316"/>
    <w:rsid w:val="00A439FD"/>
    <w:rsid w:val="00A43B45"/>
    <w:rsid w:val="00A4455C"/>
    <w:rsid w:val="00A44980"/>
    <w:rsid w:val="00A44FF3"/>
    <w:rsid w:val="00A45BFB"/>
    <w:rsid w:val="00A46FBA"/>
    <w:rsid w:val="00A4783A"/>
    <w:rsid w:val="00A47AA7"/>
    <w:rsid w:val="00A515E4"/>
    <w:rsid w:val="00A51C9E"/>
    <w:rsid w:val="00A51E33"/>
    <w:rsid w:val="00A51FA8"/>
    <w:rsid w:val="00A523D2"/>
    <w:rsid w:val="00A52D22"/>
    <w:rsid w:val="00A54E68"/>
    <w:rsid w:val="00A55E0D"/>
    <w:rsid w:val="00A55FF1"/>
    <w:rsid w:val="00A561E5"/>
    <w:rsid w:val="00A562CE"/>
    <w:rsid w:val="00A56F3A"/>
    <w:rsid w:val="00A578B6"/>
    <w:rsid w:val="00A60113"/>
    <w:rsid w:val="00A60177"/>
    <w:rsid w:val="00A60887"/>
    <w:rsid w:val="00A615DF"/>
    <w:rsid w:val="00A616AF"/>
    <w:rsid w:val="00A627EC"/>
    <w:rsid w:val="00A63F08"/>
    <w:rsid w:val="00A64673"/>
    <w:rsid w:val="00A64DB8"/>
    <w:rsid w:val="00A6513F"/>
    <w:rsid w:val="00A66694"/>
    <w:rsid w:val="00A667DF"/>
    <w:rsid w:val="00A675BC"/>
    <w:rsid w:val="00A716BE"/>
    <w:rsid w:val="00A7245D"/>
    <w:rsid w:val="00A73EBC"/>
    <w:rsid w:val="00A754ED"/>
    <w:rsid w:val="00A75845"/>
    <w:rsid w:val="00A77386"/>
    <w:rsid w:val="00A778AA"/>
    <w:rsid w:val="00A8141A"/>
    <w:rsid w:val="00A81B0A"/>
    <w:rsid w:val="00A821F4"/>
    <w:rsid w:val="00A84F92"/>
    <w:rsid w:val="00A8697A"/>
    <w:rsid w:val="00A86AEC"/>
    <w:rsid w:val="00A87D58"/>
    <w:rsid w:val="00A9017D"/>
    <w:rsid w:val="00A903AF"/>
    <w:rsid w:val="00A917B4"/>
    <w:rsid w:val="00A9280B"/>
    <w:rsid w:val="00A929C1"/>
    <w:rsid w:val="00A931D4"/>
    <w:rsid w:val="00A93260"/>
    <w:rsid w:val="00A94C36"/>
    <w:rsid w:val="00A94F47"/>
    <w:rsid w:val="00A96D33"/>
    <w:rsid w:val="00A971F6"/>
    <w:rsid w:val="00A9771C"/>
    <w:rsid w:val="00A97AF2"/>
    <w:rsid w:val="00AA053C"/>
    <w:rsid w:val="00AA056E"/>
    <w:rsid w:val="00AA0739"/>
    <w:rsid w:val="00AA0F2A"/>
    <w:rsid w:val="00AA13D3"/>
    <w:rsid w:val="00AA1712"/>
    <w:rsid w:val="00AA2AE4"/>
    <w:rsid w:val="00AA32BB"/>
    <w:rsid w:val="00AA3D2E"/>
    <w:rsid w:val="00AA4578"/>
    <w:rsid w:val="00AA4774"/>
    <w:rsid w:val="00AA4950"/>
    <w:rsid w:val="00AA5737"/>
    <w:rsid w:val="00AA5880"/>
    <w:rsid w:val="00AA5F7B"/>
    <w:rsid w:val="00AA63FB"/>
    <w:rsid w:val="00AA6D9D"/>
    <w:rsid w:val="00AA7223"/>
    <w:rsid w:val="00AA78BB"/>
    <w:rsid w:val="00AB03BD"/>
    <w:rsid w:val="00AB0CF3"/>
    <w:rsid w:val="00AB0D1C"/>
    <w:rsid w:val="00AB1CF1"/>
    <w:rsid w:val="00AB20DA"/>
    <w:rsid w:val="00AB3C91"/>
    <w:rsid w:val="00AB3CEB"/>
    <w:rsid w:val="00AB3E53"/>
    <w:rsid w:val="00AB53FC"/>
    <w:rsid w:val="00AB5490"/>
    <w:rsid w:val="00AB5A1D"/>
    <w:rsid w:val="00AB75A1"/>
    <w:rsid w:val="00AB7CA4"/>
    <w:rsid w:val="00AB7F92"/>
    <w:rsid w:val="00AC08BF"/>
    <w:rsid w:val="00AC138A"/>
    <w:rsid w:val="00AC1F83"/>
    <w:rsid w:val="00AC433D"/>
    <w:rsid w:val="00AC48E4"/>
    <w:rsid w:val="00AC4C70"/>
    <w:rsid w:val="00AC4D7E"/>
    <w:rsid w:val="00AC57C7"/>
    <w:rsid w:val="00AC5A7C"/>
    <w:rsid w:val="00AC667F"/>
    <w:rsid w:val="00AC6BC6"/>
    <w:rsid w:val="00AD02DD"/>
    <w:rsid w:val="00AD06FE"/>
    <w:rsid w:val="00AD2694"/>
    <w:rsid w:val="00AD2977"/>
    <w:rsid w:val="00AD33A9"/>
    <w:rsid w:val="00AD3C8B"/>
    <w:rsid w:val="00AD414C"/>
    <w:rsid w:val="00AD455D"/>
    <w:rsid w:val="00AD59C6"/>
    <w:rsid w:val="00AD5A08"/>
    <w:rsid w:val="00AD6345"/>
    <w:rsid w:val="00AD6F55"/>
    <w:rsid w:val="00AD71CF"/>
    <w:rsid w:val="00AE10AD"/>
    <w:rsid w:val="00AE13C0"/>
    <w:rsid w:val="00AE1562"/>
    <w:rsid w:val="00AE1722"/>
    <w:rsid w:val="00AE17D9"/>
    <w:rsid w:val="00AE2640"/>
    <w:rsid w:val="00AE3544"/>
    <w:rsid w:val="00AE6862"/>
    <w:rsid w:val="00AE6A77"/>
    <w:rsid w:val="00AE765F"/>
    <w:rsid w:val="00AE7D77"/>
    <w:rsid w:val="00AE7D8A"/>
    <w:rsid w:val="00AF0408"/>
    <w:rsid w:val="00AF1500"/>
    <w:rsid w:val="00AF22B0"/>
    <w:rsid w:val="00AF26B6"/>
    <w:rsid w:val="00AF279B"/>
    <w:rsid w:val="00AF27F9"/>
    <w:rsid w:val="00AF3586"/>
    <w:rsid w:val="00AF3811"/>
    <w:rsid w:val="00AF3CB7"/>
    <w:rsid w:val="00AF3E87"/>
    <w:rsid w:val="00AF401E"/>
    <w:rsid w:val="00AF4669"/>
    <w:rsid w:val="00AF4F74"/>
    <w:rsid w:val="00AF5019"/>
    <w:rsid w:val="00AF531D"/>
    <w:rsid w:val="00AF5831"/>
    <w:rsid w:val="00AF6354"/>
    <w:rsid w:val="00AF65CA"/>
    <w:rsid w:val="00AF776B"/>
    <w:rsid w:val="00B0098F"/>
    <w:rsid w:val="00B0128A"/>
    <w:rsid w:val="00B0136F"/>
    <w:rsid w:val="00B02B09"/>
    <w:rsid w:val="00B02F95"/>
    <w:rsid w:val="00B037A3"/>
    <w:rsid w:val="00B038C2"/>
    <w:rsid w:val="00B03BA0"/>
    <w:rsid w:val="00B03FEC"/>
    <w:rsid w:val="00B04725"/>
    <w:rsid w:val="00B051DD"/>
    <w:rsid w:val="00B0578F"/>
    <w:rsid w:val="00B05DAA"/>
    <w:rsid w:val="00B065DB"/>
    <w:rsid w:val="00B07D29"/>
    <w:rsid w:val="00B1120C"/>
    <w:rsid w:val="00B116BB"/>
    <w:rsid w:val="00B11A49"/>
    <w:rsid w:val="00B13315"/>
    <w:rsid w:val="00B1345C"/>
    <w:rsid w:val="00B13EAE"/>
    <w:rsid w:val="00B143AE"/>
    <w:rsid w:val="00B14553"/>
    <w:rsid w:val="00B14B11"/>
    <w:rsid w:val="00B16562"/>
    <w:rsid w:val="00B16A86"/>
    <w:rsid w:val="00B17B33"/>
    <w:rsid w:val="00B21993"/>
    <w:rsid w:val="00B2234A"/>
    <w:rsid w:val="00B22545"/>
    <w:rsid w:val="00B23301"/>
    <w:rsid w:val="00B23A5A"/>
    <w:rsid w:val="00B241F2"/>
    <w:rsid w:val="00B24E26"/>
    <w:rsid w:val="00B24EC3"/>
    <w:rsid w:val="00B25199"/>
    <w:rsid w:val="00B263E2"/>
    <w:rsid w:val="00B26712"/>
    <w:rsid w:val="00B26AB3"/>
    <w:rsid w:val="00B27BB2"/>
    <w:rsid w:val="00B27D3A"/>
    <w:rsid w:val="00B303BB"/>
    <w:rsid w:val="00B309C5"/>
    <w:rsid w:val="00B30A1B"/>
    <w:rsid w:val="00B31573"/>
    <w:rsid w:val="00B31A90"/>
    <w:rsid w:val="00B31EE9"/>
    <w:rsid w:val="00B32312"/>
    <w:rsid w:val="00B3406A"/>
    <w:rsid w:val="00B349B0"/>
    <w:rsid w:val="00B35A7E"/>
    <w:rsid w:val="00B35E0F"/>
    <w:rsid w:val="00B360D8"/>
    <w:rsid w:val="00B37AC6"/>
    <w:rsid w:val="00B400CB"/>
    <w:rsid w:val="00B41391"/>
    <w:rsid w:val="00B4159E"/>
    <w:rsid w:val="00B41810"/>
    <w:rsid w:val="00B42080"/>
    <w:rsid w:val="00B431DA"/>
    <w:rsid w:val="00B43FE1"/>
    <w:rsid w:val="00B457F1"/>
    <w:rsid w:val="00B45C06"/>
    <w:rsid w:val="00B47B5F"/>
    <w:rsid w:val="00B508B8"/>
    <w:rsid w:val="00B50E9F"/>
    <w:rsid w:val="00B523DA"/>
    <w:rsid w:val="00B5356B"/>
    <w:rsid w:val="00B53B34"/>
    <w:rsid w:val="00B55FC7"/>
    <w:rsid w:val="00B56887"/>
    <w:rsid w:val="00B57C52"/>
    <w:rsid w:val="00B601D3"/>
    <w:rsid w:val="00B622E2"/>
    <w:rsid w:val="00B6311D"/>
    <w:rsid w:val="00B63DDD"/>
    <w:rsid w:val="00B641AF"/>
    <w:rsid w:val="00B641EB"/>
    <w:rsid w:val="00B64A19"/>
    <w:rsid w:val="00B64B8A"/>
    <w:rsid w:val="00B64DDF"/>
    <w:rsid w:val="00B664DD"/>
    <w:rsid w:val="00B66B97"/>
    <w:rsid w:val="00B66DDB"/>
    <w:rsid w:val="00B67EA5"/>
    <w:rsid w:val="00B70798"/>
    <w:rsid w:val="00B7198B"/>
    <w:rsid w:val="00B71EE6"/>
    <w:rsid w:val="00B71F7D"/>
    <w:rsid w:val="00B72973"/>
    <w:rsid w:val="00B73896"/>
    <w:rsid w:val="00B73D24"/>
    <w:rsid w:val="00B73F6C"/>
    <w:rsid w:val="00B7412B"/>
    <w:rsid w:val="00B7498B"/>
    <w:rsid w:val="00B75153"/>
    <w:rsid w:val="00B76D91"/>
    <w:rsid w:val="00B7715A"/>
    <w:rsid w:val="00B77756"/>
    <w:rsid w:val="00B80402"/>
    <w:rsid w:val="00B81D1B"/>
    <w:rsid w:val="00B82386"/>
    <w:rsid w:val="00B8264D"/>
    <w:rsid w:val="00B82D71"/>
    <w:rsid w:val="00B83D03"/>
    <w:rsid w:val="00B840A8"/>
    <w:rsid w:val="00B8413F"/>
    <w:rsid w:val="00B84353"/>
    <w:rsid w:val="00B845FC"/>
    <w:rsid w:val="00B84846"/>
    <w:rsid w:val="00B8522A"/>
    <w:rsid w:val="00B852B4"/>
    <w:rsid w:val="00B8592D"/>
    <w:rsid w:val="00B85FE0"/>
    <w:rsid w:val="00B874F7"/>
    <w:rsid w:val="00B9099C"/>
    <w:rsid w:val="00B910C8"/>
    <w:rsid w:val="00B91108"/>
    <w:rsid w:val="00B919B0"/>
    <w:rsid w:val="00B9249E"/>
    <w:rsid w:val="00B92625"/>
    <w:rsid w:val="00B92D49"/>
    <w:rsid w:val="00B93042"/>
    <w:rsid w:val="00B9397B"/>
    <w:rsid w:val="00B941A6"/>
    <w:rsid w:val="00B957B8"/>
    <w:rsid w:val="00B9673E"/>
    <w:rsid w:val="00B9692E"/>
    <w:rsid w:val="00B97154"/>
    <w:rsid w:val="00BA04FA"/>
    <w:rsid w:val="00BA096E"/>
    <w:rsid w:val="00BA0A67"/>
    <w:rsid w:val="00BA1CE1"/>
    <w:rsid w:val="00BA23CF"/>
    <w:rsid w:val="00BA34C0"/>
    <w:rsid w:val="00BA423D"/>
    <w:rsid w:val="00BA42BA"/>
    <w:rsid w:val="00BA5D10"/>
    <w:rsid w:val="00BA60DF"/>
    <w:rsid w:val="00BA618E"/>
    <w:rsid w:val="00BA7A99"/>
    <w:rsid w:val="00BA7B0F"/>
    <w:rsid w:val="00BA7BCF"/>
    <w:rsid w:val="00BB06A2"/>
    <w:rsid w:val="00BB1190"/>
    <w:rsid w:val="00BB4415"/>
    <w:rsid w:val="00BB4B04"/>
    <w:rsid w:val="00BB54A5"/>
    <w:rsid w:val="00BB5684"/>
    <w:rsid w:val="00BB6601"/>
    <w:rsid w:val="00BB672F"/>
    <w:rsid w:val="00BB6E5F"/>
    <w:rsid w:val="00BB7A61"/>
    <w:rsid w:val="00BB7D3E"/>
    <w:rsid w:val="00BC04AE"/>
    <w:rsid w:val="00BC09D7"/>
    <w:rsid w:val="00BC0C62"/>
    <w:rsid w:val="00BC133E"/>
    <w:rsid w:val="00BC1638"/>
    <w:rsid w:val="00BC26F2"/>
    <w:rsid w:val="00BC2DE4"/>
    <w:rsid w:val="00BC2FB4"/>
    <w:rsid w:val="00BC4424"/>
    <w:rsid w:val="00BC453B"/>
    <w:rsid w:val="00BC5152"/>
    <w:rsid w:val="00BC57A9"/>
    <w:rsid w:val="00BC5FAD"/>
    <w:rsid w:val="00BC6868"/>
    <w:rsid w:val="00BC6FFB"/>
    <w:rsid w:val="00BC7668"/>
    <w:rsid w:val="00BC7965"/>
    <w:rsid w:val="00BC7F07"/>
    <w:rsid w:val="00BD0955"/>
    <w:rsid w:val="00BD0DDA"/>
    <w:rsid w:val="00BD20AC"/>
    <w:rsid w:val="00BD26EA"/>
    <w:rsid w:val="00BD37B3"/>
    <w:rsid w:val="00BD3D33"/>
    <w:rsid w:val="00BD443A"/>
    <w:rsid w:val="00BD4553"/>
    <w:rsid w:val="00BD4608"/>
    <w:rsid w:val="00BD464D"/>
    <w:rsid w:val="00BD4D50"/>
    <w:rsid w:val="00BD615E"/>
    <w:rsid w:val="00BD68AC"/>
    <w:rsid w:val="00BD6CAF"/>
    <w:rsid w:val="00BD7066"/>
    <w:rsid w:val="00BD7C18"/>
    <w:rsid w:val="00BD7E5F"/>
    <w:rsid w:val="00BD7F93"/>
    <w:rsid w:val="00BE02F4"/>
    <w:rsid w:val="00BE0C5B"/>
    <w:rsid w:val="00BE1D9C"/>
    <w:rsid w:val="00BE2007"/>
    <w:rsid w:val="00BE2994"/>
    <w:rsid w:val="00BE2D2F"/>
    <w:rsid w:val="00BE3B41"/>
    <w:rsid w:val="00BE4C54"/>
    <w:rsid w:val="00BE755D"/>
    <w:rsid w:val="00BE7C1A"/>
    <w:rsid w:val="00BE7EEF"/>
    <w:rsid w:val="00BF12CA"/>
    <w:rsid w:val="00BF1912"/>
    <w:rsid w:val="00BF207E"/>
    <w:rsid w:val="00BF248A"/>
    <w:rsid w:val="00BF3CA9"/>
    <w:rsid w:val="00BF41D3"/>
    <w:rsid w:val="00BF4B15"/>
    <w:rsid w:val="00BF4C37"/>
    <w:rsid w:val="00BF4D61"/>
    <w:rsid w:val="00BF5263"/>
    <w:rsid w:val="00BF60B8"/>
    <w:rsid w:val="00BF6104"/>
    <w:rsid w:val="00BF72C4"/>
    <w:rsid w:val="00C00765"/>
    <w:rsid w:val="00C00971"/>
    <w:rsid w:val="00C0223B"/>
    <w:rsid w:val="00C031E2"/>
    <w:rsid w:val="00C03EA3"/>
    <w:rsid w:val="00C0400F"/>
    <w:rsid w:val="00C04763"/>
    <w:rsid w:val="00C04AAE"/>
    <w:rsid w:val="00C05817"/>
    <w:rsid w:val="00C0591E"/>
    <w:rsid w:val="00C05D79"/>
    <w:rsid w:val="00C06AC0"/>
    <w:rsid w:val="00C06E48"/>
    <w:rsid w:val="00C119B7"/>
    <w:rsid w:val="00C124CA"/>
    <w:rsid w:val="00C12F2D"/>
    <w:rsid w:val="00C135BC"/>
    <w:rsid w:val="00C1448F"/>
    <w:rsid w:val="00C15A82"/>
    <w:rsid w:val="00C15D30"/>
    <w:rsid w:val="00C17218"/>
    <w:rsid w:val="00C17517"/>
    <w:rsid w:val="00C17545"/>
    <w:rsid w:val="00C17887"/>
    <w:rsid w:val="00C17B04"/>
    <w:rsid w:val="00C20622"/>
    <w:rsid w:val="00C20DB7"/>
    <w:rsid w:val="00C21221"/>
    <w:rsid w:val="00C21BDE"/>
    <w:rsid w:val="00C21FD6"/>
    <w:rsid w:val="00C2267C"/>
    <w:rsid w:val="00C23A42"/>
    <w:rsid w:val="00C23C97"/>
    <w:rsid w:val="00C24CDB"/>
    <w:rsid w:val="00C24D28"/>
    <w:rsid w:val="00C25DB2"/>
    <w:rsid w:val="00C261F4"/>
    <w:rsid w:val="00C26308"/>
    <w:rsid w:val="00C26647"/>
    <w:rsid w:val="00C26767"/>
    <w:rsid w:val="00C26AD4"/>
    <w:rsid w:val="00C26DB6"/>
    <w:rsid w:val="00C2799A"/>
    <w:rsid w:val="00C314A8"/>
    <w:rsid w:val="00C3210B"/>
    <w:rsid w:val="00C327E4"/>
    <w:rsid w:val="00C3292E"/>
    <w:rsid w:val="00C32E95"/>
    <w:rsid w:val="00C33086"/>
    <w:rsid w:val="00C33843"/>
    <w:rsid w:val="00C34C97"/>
    <w:rsid w:val="00C352AF"/>
    <w:rsid w:val="00C356EF"/>
    <w:rsid w:val="00C35B56"/>
    <w:rsid w:val="00C35CFC"/>
    <w:rsid w:val="00C35EA5"/>
    <w:rsid w:val="00C3728B"/>
    <w:rsid w:val="00C37816"/>
    <w:rsid w:val="00C37C2A"/>
    <w:rsid w:val="00C41A76"/>
    <w:rsid w:val="00C41EA1"/>
    <w:rsid w:val="00C421D8"/>
    <w:rsid w:val="00C423A9"/>
    <w:rsid w:val="00C42582"/>
    <w:rsid w:val="00C43A96"/>
    <w:rsid w:val="00C440D1"/>
    <w:rsid w:val="00C44778"/>
    <w:rsid w:val="00C44B76"/>
    <w:rsid w:val="00C44CFB"/>
    <w:rsid w:val="00C45637"/>
    <w:rsid w:val="00C45918"/>
    <w:rsid w:val="00C45BA4"/>
    <w:rsid w:val="00C46297"/>
    <w:rsid w:val="00C46E89"/>
    <w:rsid w:val="00C46F12"/>
    <w:rsid w:val="00C47947"/>
    <w:rsid w:val="00C479B2"/>
    <w:rsid w:val="00C51914"/>
    <w:rsid w:val="00C51AB6"/>
    <w:rsid w:val="00C52146"/>
    <w:rsid w:val="00C52936"/>
    <w:rsid w:val="00C52D22"/>
    <w:rsid w:val="00C5312A"/>
    <w:rsid w:val="00C533F6"/>
    <w:rsid w:val="00C54528"/>
    <w:rsid w:val="00C54A44"/>
    <w:rsid w:val="00C5545D"/>
    <w:rsid w:val="00C56ACA"/>
    <w:rsid w:val="00C5769E"/>
    <w:rsid w:val="00C57786"/>
    <w:rsid w:val="00C57ECD"/>
    <w:rsid w:val="00C6007C"/>
    <w:rsid w:val="00C6070F"/>
    <w:rsid w:val="00C609B7"/>
    <w:rsid w:val="00C61038"/>
    <w:rsid w:val="00C61D70"/>
    <w:rsid w:val="00C62624"/>
    <w:rsid w:val="00C629C6"/>
    <w:rsid w:val="00C62C0F"/>
    <w:rsid w:val="00C630FC"/>
    <w:rsid w:val="00C64243"/>
    <w:rsid w:val="00C64909"/>
    <w:rsid w:val="00C64976"/>
    <w:rsid w:val="00C64F2E"/>
    <w:rsid w:val="00C655B0"/>
    <w:rsid w:val="00C661FB"/>
    <w:rsid w:val="00C663D0"/>
    <w:rsid w:val="00C66DCB"/>
    <w:rsid w:val="00C675A3"/>
    <w:rsid w:val="00C67C97"/>
    <w:rsid w:val="00C73509"/>
    <w:rsid w:val="00C73758"/>
    <w:rsid w:val="00C73C7E"/>
    <w:rsid w:val="00C73DE0"/>
    <w:rsid w:val="00C74B67"/>
    <w:rsid w:val="00C75233"/>
    <w:rsid w:val="00C77130"/>
    <w:rsid w:val="00C77601"/>
    <w:rsid w:val="00C77E88"/>
    <w:rsid w:val="00C8027D"/>
    <w:rsid w:val="00C80953"/>
    <w:rsid w:val="00C81940"/>
    <w:rsid w:val="00C81D46"/>
    <w:rsid w:val="00C81E47"/>
    <w:rsid w:val="00C82D15"/>
    <w:rsid w:val="00C8318E"/>
    <w:rsid w:val="00C8394B"/>
    <w:rsid w:val="00C83E9F"/>
    <w:rsid w:val="00C84796"/>
    <w:rsid w:val="00C85016"/>
    <w:rsid w:val="00C85190"/>
    <w:rsid w:val="00C852C8"/>
    <w:rsid w:val="00C8665F"/>
    <w:rsid w:val="00C86914"/>
    <w:rsid w:val="00C87062"/>
    <w:rsid w:val="00C91AEE"/>
    <w:rsid w:val="00C92C84"/>
    <w:rsid w:val="00C9378C"/>
    <w:rsid w:val="00C93D34"/>
    <w:rsid w:val="00C944F2"/>
    <w:rsid w:val="00C94B46"/>
    <w:rsid w:val="00C95832"/>
    <w:rsid w:val="00C96003"/>
    <w:rsid w:val="00C96358"/>
    <w:rsid w:val="00C97A01"/>
    <w:rsid w:val="00CA0BA7"/>
    <w:rsid w:val="00CA1CDB"/>
    <w:rsid w:val="00CA2284"/>
    <w:rsid w:val="00CA3F67"/>
    <w:rsid w:val="00CA412B"/>
    <w:rsid w:val="00CA4BC4"/>
    <w:rsid w:val="00CA52AC"/>
    <w:rsid w:val="00CA6627"/>
    <w:rsid w:val="00CA6D85"/>
    <w:rsid w:val="00CA7068"/>
    <w:rsid w:val="00CA7135"/>
    <w:rsid w:val="00CA795F"/>
    <w:rsid w:val="00CA7BB7"/>
    <w:rsid w:val="00CA7C92"/>
    <w:rsid w:val="00CA7E62"/>
    <w:rsid w:val="00CB02D2"/>
    <w:rsid w:val="00CB0EFE"/>
    <w:rsid w:val="00CB0FF3"/>
    <w:rsid w:val="00CB1728"/>
    <w:rsid w:val="00CB18A4"/>
    <w:rsid w:val="00CB2596"/>
    <w:rsid w:val="00CB3359"/>
    <w:rsid w:val="00CB3D38"/>
    <w:rsid w:val="00CB442F"/>
    <w:rsid w:val="00CB44BF"/>
    <w:rsid w:val="00CB6256"/>
    <w:rsid w:val="00CB774F"/>
    <w:rsid w:val="00CC114D"/>
    <w:rsid w:val="00CC1D70"/>
    <w:rsid w:val="00CC268F"/>
    <w:rsid w:val="00CC3ADD"/>
    <w:rsid w:val="00CC3E6E"/>
    <w:rsid w:val="00CC3F53"/>
    <w:rsid w:val="00CC3F7B"/>
    <w:rsid w:val="00CC4834"/>
    <w:rsid w:val="00CC5073"/>
    <w:rsid w:val="00CC6E92"/>
    <w:rsid w:val="00CC7D0E"/>
    <w:rsid w:val="00CC7DDB"/>
    <w:rsid w:val="00CC7F64"/>
    <w:rsid w:val="00CD08A2"/>
    <w:rsid w:val="00CD168A"/>
    <w:rsid w:val="00CD1E00"/>
    <w:rsid w:val="00CD30F6"/>
    <w:rsid w:val="00CD31C7"/>
    <w:rsid w:val="00CD3771"/>
    <w:rsid w:val="00CD38FD"/>
    <w:rsid w:val="00CD3B74"/>
    <w:rsid w:val="00CD420F"/>
    <w:rsid w:val="00CD6178"/>
    <w:rsid w:val="00CD785D"/>
    <w:rsid w:val="00CD7C0D"/>
    <w:rsid w:val="00CE0F05"/>
    <w:rsid w:val="00CE1388"/>
    <w:rsid w:val="00CE13BB"/>
    <w:rsid w:val="00CE16A7"/>
    <w:rsid w:val="00CE1840"/>
    <w:rsid w:val="00CE194A"/>
    <w:rsid w:val="00CE1E86"/>
    <w:rsid w:val="00CE2917"/>
    <w:rsid w:val="00CE2934"/>
    <w:rsid w:val="00CE2FFE"/>
    <w:rsid w:val="00CE31A0"/>
    <w:rsid w:val="00CE34EE"/>
    <w:rsid w:val="00CE417E"/>
    <w:rsid w:val="00CE4AF0"/>
    <w:rsid w:val="00CE4BD7"/>
    <w:rsid w:val="00CE4C3D"/>
    <w:rsid w:val="00CE59AD"/>
    <w:rsid w:val="00CE5D61"/>
    <w:rsid w:val="00CE729D"/>
    <w:rsid w:val="00CF023C"/>
    <w:rsid w:val="00CF10E5"/>
    <w:rsid w:val="00CF16E1"/>
    <w:rsid w:val="00CF3166"/>
    <w:rsid w:val="00CF32EE"/>
    <w:rsid w:val="00CF3C73"/>
    <w:rsid w:val="00CF4BE1"/>
    <w:rsid w:val="00CF5488"/>
    <w:rsid w:val="00CF5974"/>
    <w:rsid w:val="00CF60BC"/>
    <w:rsid w:val="00CF678D"/>
    <w:rsid w:val="00CF6AF3"/>
    <w:rsid w:val="00CF729F"/>
    <w:rsid w:val="00CF7B72"/>
    <w:rsid w:val="00D00411"/>
    <w:rsid w:val="00D006C1"/>
    <w:rsid w:val="00D00E7B"/>
    <w:rsid w:val="00D021B0"/>
    <w:rsid w:val="00D0285E"/>
    <w:rsid w:val="00D03717"/>
    <w:rsid w:val="00D0397F"/>
    <w:rsid w:val="00D03B21"/>
    <w:rsid w:val="00D03F48"/>
    <w:rsid w:val="00D04035"/>
    <w:rsid w:val="00D04279"/>
    <w:rsid w:val="00D04448"/>
    <w:rsid w:val="00D06656"/>
    <w:rsid w:val="00D066D5"/>
    <w:rsid w:val="00D10FD9"/>
    <w:rsid w:val="00D119DE"/>
    <w:rsid w:val="00D12637"/>
    <w:rsid w:val="00D129C7"/>
    <w:rsid w:val="00D162EE"/>
    <w:rsid w:val="00D17060"/>
    <w:rsid w:val="00D17874"/>
    <w:rsid w:val="00D17B96"/>
    <w:rsid w:val="00D17ECF"/>
    <w:rsid w:val="00D20C9E"/>
    <w:rsid w:val="00D20F75"/>
    <w:rsid w:val="00D21428"/>
    <w:rsid w:val="00D215F4"/>
    <w:rsid w:val="00D216B4"/>
    <w:rsid w:val="00D217B3"/>
    <w:rsid w:val="00D235A4"/>
    <w:rsid w:val="00D23969"/>
    <w:rsid w:val="00D251D9"/>
    <w:rsid w:val="00D263B1"/>
    <w:rsid w:val="00D26A4A"/>
    <w:rsid w:val="00D26DF0"/>
    <w:rsid w:val="00D276D9"/>
    <w:rsid w:val="00D27D9A"/>
    <w:rsid w:val="00D3017B"/>
    <w:rsid w:val="00D303FB"/>
    <w:rsid w:val="00D3118F"/>
    <w:rsid w:val="00D31D25"/>
    <w:rsid w:val="00D32089"/>
    <w:rsid w:val="00D32343"/>
    <w:rsid w:val="00D32CF6"/>
    <w:rsid w:val="00D334C3"/>
    <w:rsid w:val="00D3397A"/>
    <w:rsid w:val="00D33F5F"/>
    <w:rsid w:val="00D3448E"/>
    <w:rsid w:val="00D349E9"/>
    <w:rsid w:val="00D35200"/>
    <w:rsid w:val="00D35767"/>
    <w:rsid w:val="00D3580B"/>
    <w:rsid w:val="00D35D11"/>
    <w:rsid w:val="00D3627A"/>
    <w:rsid w:val="00D37421"/>
    <w:rsid w:val="00D37B20"/>
    <w:rsid w:val="00D37CDF"/>
    <w:rsid w:val="00D402B5"/>
    <w:rsid w:val="00D4064A"/>
    <w:rsid w:val="00D41242"/>
    <w:rsid w:val="00D4154E"/>
    <w:rsid w:val="00D41742"/>
    <w:rsid w:val="00D42481"/>
    <w:rsid w:val="00D4277F"/>
    <w:rsid w:val="00D4330D"/>
    <w:rsid w:val="00D43CED"/>
    <w:rsid w:val="00D445CD"/>
    <w:rsid w:val="00D44766"/>
    <w:rsid w:val="00D448BC"/>
    <w:rsid w:val="00D4572E"/>
    <w:rsid w:val="00D4691C"/>
    <w:rsid w:val="00D470AB"/>
    <w:rsid w:val="00D5016E"/>
    <w:rsid w:val="00D50ADA"/>
    <w:rsid w:val="00D50F88"/>
    <w:rsid w:val="00D51351"/>
    <w:rsid w:val="00D522AB"/>
    <w:rsid w:val="00D54A5E"/>
    <w:rsid w:val="00D5524B"/>
    <w:rsid w:val="00D554A8"/>
    <w:rsid w:val="00D55730"/>
    <w:rsid w:val="00D559E8"/>
    <w:rsid w:val="00D55E84"/>
    <w:rsid w:val="00D564F8"/>
    <w:rsid w:val="00D567F0"/>
    <w:rsid w:val="00D575A6"/>
    <w:rsid w:val="00D57E1B"/>
    <w:rsid w:val="00D6047D"/>
    <w:rsid w:val="00D6050D"/>
    <w:rsid w:val="00D62CA1"/>
    <w:rsid w:val="00D644EA"/>
    <w:rsid w:val="00D64BE7"/>
    <w:rsid w:val="00D652C9"/>
    <w:rsid w:val="00D65A3C"/>
    <w:rsid w:val="00D674F6"/>
    <w:rsid w:val="00D70026"/>
    <w:rsid w:val="00D70491"/>
    <w:rsid w:val="00D708B6"/>
    <w:rsid w:val="00D7177D"/>
    <w:rsid w:val="00D72009"/>
    <w:rsid w:val="00D72249"/>
    <w:rsid w:val="00D729D5"/>
    <w:rsid w:val="00D73042"/>
    <w:rsid w:val="00D7339D"/>
    <w:rsid w:val="00D73A4A"/>
    <w:rsid w:val="00D73F20"/>
    <w:rsid w:val="00D744F1"/>
    <w:rsid w:val="00D75C0E"/>
    <w:rsid w:val="00D766AA"/>
    <w:rsid w:val="00D7685A"/>
    <w:rsid w:val="00D76F98"/>
    <w:rsid w:val="00D778EF"/>
    <w:rsid w:val="00D77E4D"/>
    <w:rsid w:val="00D8024E"/>
    <w:rsid w:val="00D809B0"/>
    <w:rsid w:val="00D80B4A"/>
    <w:rsid w:val="00D80DF1"/>
    <w:rsid w:val="00D810AE"/>
    <w:rsid w:val="00D8119C"/>
    <w:rsid w:val="00D81406"/>
    <w:rsid w:val="00D81855"/>
    <w:rsid w:val="00D81A74"/>
    <w:rsid w:val="00D827AC"/>
    <w:rsid w:val="00D828A6"/>
    <w:rsid w:val="00D8306B"/>
    <w:rsid w:val="00D8330C"/>
    <w:rsid w:val="00D834EF"/>
    <w:rsid w:val="00D83BB1"/>
    <w:rsid w:val="00D847BE"/>
    <w:rsid w:val="00D85519"/>
    <w:rsid w:val="00D85E5B"/>
    <w:rsid w:val="00D86366"/>
    <w:rsid w:val="00D863E4"/>
    <w:rsid w:val="00D86E1B"/>
    <w:rsid w:val="00D87027"/>
    <w:rsid w:val="00D87CBE"/>
    <w:rsid w:val="00D91325"/>
    <w:rsid w:val="00D91A72"/>
    <w:rsid w:val="00D91B9A"/>
    <w:rsid w:val="00D92022"/>
    <w:rsid w:val="00D92543"/>
    <w:rsid w:val="00D92732"/>
    <w:rsid w:val="00D93226"/>
    <w:rsid w:val="00D94661"/>
    <w:rsid w:val="00D97B7F"/>
    <w:rsid w:val="00D97C15"/>
    <w:rsid w:val="00D97D28"/>
    <w:rsid w:val="00DA0096"/>
    <w:rsid w:val="00DA18BA"/>
    <w:rsid w:val="00DA18FD"/>
    <w:rsid w:val="00DA2EEF"/>
    <w:rsid w:val="00DA4CE3"/>
    <w:rsid w:val="00DA66EC"/>
    <w:rsid w:val="00DA688E"/>
    <w:rsid w:val="00DA6C04"/>
    <w:rsid w:val="00DA6F26"/>
    <w:rsid w:val="00DA75A7"/>
    <w:rsid w:val="00DB01F4"/>
    <w:rsid w:val="00DB091B"/>
    <w:rsid w:val="00DB0A38"/>
    <w:rsid w:val="00DB1AF8"/>
    <w:rsid w:val="00DB1EC3"/>
    <w:rsid w:val="00DB32ED"/>
    <w:rsid w:val="00DB34F6"/>
    <w:rsid w:val="00DB3B38"/>
    <w:rsid w:val="00DB3D5B"/>
    <w:rsid w:val="00DB43E7"/>
    <w:rsid w:val="00DB4D85"/>
    <w:rsid w:val="00DB4E7A"/>
    <w:rsid w:val="00DB62C6"/>
    <w:rsid w:val="00DB6385"/>
    <w:rsid w:val="00DB7252"/>
    <w:rsid w:val="00DB7529"/>
    <w:rsid w:val="00DB77B2"/>
    <w:rsid w:val="00DB7AB3"/>
    <w:rsid w:val="00DB7EA0"/>
    <w:rsid w:val="00DC0133"/>
    <w:rsid w:val="00DC1997"/>
    <w:rsid w:val="00DC2EB0"/>
    <w:rsid w:val="00DC32A7"/>
    <w:rsid w:val="00DC37CC"/>
    <w:rsid w:val="00DC4915"/>
    <w:rsid w:val="00DC5350"/>
    <w:rsid w:val="00DC58AC"/>
    <w:rsid w:val="00DC5982"/>
    <w:rsid w:val="00DC6027"/>
    <w:rsid w:val="00DC6BF8"/>
    <w:rsid w:val="00DC7F44"/>
    <w:rsid w:val="00DD1556"/>
    <w:rsid w:val="00DD1749"/>
    <w:rsid w:val="00DD1922"/>
    <w:rsid w:val="00DD202B"/>
    <w:rsid w:val="00DD26CD"/>
    <w:rsid w:val="00DD2952"/>
    <w:rsid w:val="00DD29FC"/>
    <w:rsid w:val="00DD4ADA"/>
    <w:rsid w:val="00DD5A19"/>
    <w:rsid w:val="00DD5C42"/>
    <w:rsid w:val="00DD5ED2"/>
    <w:rsid w:val="00DD638A"/>
    <w:rsid w:val="00DD6E59"/>
    <w:rsid w:val="00DD71DC"/>
    <w:rsid w:val="00DD7868"/>
    <w:rsid w:val="00DD7A31"/>
    <w:rsid w:val="00DE0009"/>
    <w:rsid w:val="00DE2B1E"/>
    <w:rsid w:val="00DE304E"/>
    <w:rsid w:val="00DE3A63"/>
    <w:rsid w:val="00DE4EE6"/>
    <w:rsid w:val="00DE542B"/>
    <w:rsid w:val="00DE59D1"/>
    <w:rsid w:val="00DE5ACD"/>
    <w:rsid w:val="00DE5C1F"/>
    <w:rsid w:val="00DE5DC4"/>
    <w:rsid w:val="00DE7029"/>
    <w:rsid w:val="00DE76B3"/>
    <w:rsid w:val="00DE7A0E"/>
    <w:rsid w:val="00DE7CEE"/>
    <w:rsid w:val="00DF1206"/>
    <w:rsid w:val="00DF1C65"/>
    <w:rsid w:val="00DF25CF"/>
    <w:rsid w:val="00DF2918"/>
    <w:rsid w:val="00DF3082"/>
    <w:rsid w:val="00DF30D3"/>
    <w:rsid w:val="00DF3D68"/>
    <w:rsid w:val="00DF462C"/>
    <w:rsid w:val="00DF48F0"/>
    <w:rsid w:val="00DF5095"/>
    <w:rsid w:val="00DF6412"/>
    <w:rsid w:val="00DF7151"/>
    <w:rsid w:val="00DF72FF"/>
    <w:rsid w:val="00E005E4"/>
    <w:rsid w:val="00E00B5E"/>
    <w:rsid w:val="00E019E3"/>
    <w:rsid w:val="00E0238F"/>
    <w:rsid w:val="00E037CF"/>
    <w:rsid w:val="00E039A5"/>
    <w:rsid w:val="00E03E71"/>
    <w:rsid w:val="00E04BAB"/>
    <w:rsid w:val="00E06902"/>
    <w:rsid w:val="00E06D38"/>
    <w:rsid w:val="00E077B8"/>
    <w:rsid w:val="00E077C1"/>
    <w:rsid w:val="00E07962"/>
    <w:rsid w:val="00E10443"/>
    <w:rsid w:val="00E106DE"/>
    <w:rsid w:val="00E1128F"/>
    <w:rsid w:val="00E11383"/>
    <w:rsid w:val="00E11723"/>
    <w:rsid w:val="00E11BE4"/>
    <w:rsid w:val="00E13B5C"/>
    <w:rsid w:val="00E14A49"/>
    <w:rsid w:val="00E14BB2"/>
    <w:rsid w:val="00E162ED"/>
    <w:rsid w:val="00E16603"/>
    <w:rsid w:val="00E17DE6"/>
    <w:rsid w:val="00E20423"/>
    <w:rsid w:val="00E21C95"/>
    <w:rsid w:val="00E2236C"/>
    <w:rsid w:val="00E2239B"/>
    <w:rsid w:val="00E225EE"/>
    <w:rsid w:val="00E225FB"/>
    <w:rsid w:val="00E23085"/>
    <w:rsid w:val="00E23C24"/>
    <w:rsid w:val="00E24341"/>
    <w:rsid w:val="00E247B9"/>
    <w:rsid w:val="00E24B20"/>
    <w:rsid w:val="00E24FBB"/>
    <w:rsid w:val="00E25779"/>
    <w:rsid w:val="00E2698C"/>
    <w:rsid w:val="00E26FEC"/>
    <w:rsid w:val="00E2720D"/>
    <w:rsid w:val="00E27469"/>
    <w:rsid w:val="00E3005F"/>
    <w:rsid w:val="00E3067A"/>
    <w:rsid w:val="00E308F1"/>
    <w:rsid w:val="00E30EEF"/>
    <w:rsid w:val="00E3117F"/>
    <w:rsid w:val="00E33086"/>
    <w:rsid w:val="00E3542E"/>
    <w:rsid w:val="00E361E2"/>
    <w:rsid w:val="00E36753"/>
    <w:rsid w:val="00E40D2C"/>
    <w:rsid w:val="00E410B4"/>
    <w:rsid w:val="00E41E3A"/>
    <w:rsid w:val="00E422A5"/>
    <w:rsid w:val="00E42651"/>
    <w:rsid w:val="00E44C35"/>
    <w:rsid w:val="00E47B4F"/>
    <w:rsid w:val="00E50D40"/>
    <w:rsid w:val="00E51102"/>
    <w:rsid w:val="00E51750"/>
    <w:rsid w:val="00E519FE"/>
    <w:rsid w:val="00E528A0"/>
    <w:rsid w:val="00E528C0"/>
    <w:rsid w:val="00E52946"/>
    <w:rsid w:val="00E53F82"/>
    <w:rsid w:val="00E57D30"/>
    <w:rsid w:val="00E61690"/>
    <w:rsid w:val="00E61F12"/>
    <w:rsid w:val="00E630C8"/>
    <w:rsid w:val="00E63C58"/>
    <w:rsid w:val="00E6496B"/>
    <w:rsid w:val="00E65243"/>
    <w:rsid w:val="00E70028"/>
    <w:rsid w:val="00E71394"/>
    <w:rsid w:val="00E71472"/>
    <w:rsid w:val="00E715EC"/>
    <w:rsid w:val="00E71918"/>
    <w:rsid w:val="00E71FED"/>
    <w:rsid w:val="00E72DA4"/>
    <w:rsid w:val="00E74099"/>
    <w:rsid w:val="00E74D41"/>
    <w:rsid w:val="00E75517"/>
    <w:rsid w:val="00E75EF1"/>
    <w:rsid w:val="00E76A26"/>
    <w:rsid w:val="00E76B30"/>
    <w:rsid w:val="00E80906"/>
    <w:rsid w:val="00E80F6E"/>
    <w:rsid w:val="00E818B3"/>
    <w:rsid w:val="00E81F37"/>
    <w:rsid w:val="00E824D2"/>
    <w:rsid w:val="00E826C8"/>
    <w:rsid w:val="00E82D97"/>
    <w:rsid w:val="00E832A1"/>
    <w:rsid w:val="00E837C4"/>
    <w:rsid w:val="00E83C0F"/>
    <w:rsid w:val="00E84697"/>
    <w:rsid w:val="00E84DA2"/>
    <w:rsid w:val="00E850E4"/>
    <w:rsid w:val="00E856C0"/>
    <w:rsid w:val="00E8647D"/>
    <w:rsid w:val="00E866E8"/>
    <w:rsid w:val="00E86FC5"/>
    <w:rsid w:val="00E87228"/>
    <w:rsid w:val="00E87E81"/>
    <w:rsid w:val="00E904D8"/>
    <w:rsid w:val="00E90EAF"/>
    <w:rsid w:val="00E90FF5"/>
    <w:rsid w:val="00E91062"/>
    <w:rsid w:val="00E9274A"/>
    <w:rsid w:val="00E9339B"/>
    <w:rsid w:val="00E93A6A"/>
    <w:rsid w:val="00E93B61"/>
    <w:rsid w:val="00E9459F"/>
    <w:rsid w:val="00E94AEF"/>
    <w:rsid w:val="00E95E9E"/>
    <w:rsid w:val="00E96A5E"/>
    <w:rsid w:val="00E96F7D"/>
    <w:rsid w:val="00E97ADA"/>
    <w:rsid w:val="00EA0207"/>
    <w:rsid w:val="00EA04F6"/>
    <w:rsid w:val="00EA090B"/>
    <w:rsid w:val="00EA1054"/>
    <w:rsid w:val="00EA1572"/>
    <w:rsid w:val="00EA1D03"/>
    <w:rsid w:val="00EA254F"/>
    <w:rsid w:val="00EA4021"/>
    <w:rsid w:val="00EA42B5"/>
    <w:rsid w:val="00EA471F"/>
    <w:rsid w:val="00EA7D69"/>
    <w:rsid w:val="00EB0315"/>
    <w:rsid w:val="00EB0BC9"/>
    <w:rsid w:val="00EB13EC"/>
    <w:rsid w:val="00EB5078"/>
    <w:rsid w:val="00EB5202"/>
    <w:rsid w:val="00EB5237"/>
    <w:rsid w:val="00EB55EB"/>
    <w:rsid w:val="00EB5AB5"/>
    <w:rsid w:val="00EB6B44"/>
    <w:rsid w:val="00EB7018"/>
    <w:rsid w:val="00EB73E1"/>
    <w:rsid w:val="00EB7A9E"/>
    <w:rsid w:val="00EB7C75"/>
    <w:rsid w:val="00EC0105"/>
    <w:rsid w:val="00EC0E76"/>
    <w:rsid w:val="00EC3CCC"/>
    <w:rsid w:val="00EC4102"/>
    <w:rsid w:val="00EC47E5"/>
    <w:rsid w:val="00EC52BC"/>
    <w:rsid w:val="00EC5C4E"/>
    <w:rsid w:val="00EC62B4"/>
    <w:rsid w:val="00EC6A80"/>
    <w:rsid w:val="00EC78D7"/>
    <w:rsid w:val="00EC7935"/>
    <w:rsid w:val="00EC7B3E"/>
    <w:rsid w:val="00ED03CE"/>
    <w:rsid w:val="00ED0B1A"/>
    <w:rsid w:val="00ED1390"/>
    <w:rsid w:val="00ED14F9"/>
    <w:rsid w:val="00ED2925"/>
    <w:rsid w:val="00ED2ED4"/>
    <w:rsid w:val="00ED301C"/>
    <w:rsid w:val="00ED3454"/>
    <w:rsid w:val="00ED5874"/>
    <w:rsid w:val="00ED60D3"/>
    <w:rsid w:val="00ED6E52"/>
    <w:rsid w:val="00EE01E2"/>
    <w:rsid w:val="00EE0B18"/>
    <w:rsid w:val="00EE0E40"/>
    <w:rsid w:val="00EE1B5B"/>
    <w:rsid w:val="00EE1BC1"/>
    <w:rsid w:val="00EE1C72"/>
    <w:rsid w:val="00EE2349"/>
    <w:rsid w:val="00EE289C"/>
    <w:rsid w:val="00EE3882"/>
    <w:rsid w:val="00EE3A93"/>
    <w:rsid w:val="00EE3EC6"/>
    <w:rsid w:val="00EE3ED5"/>
    <w:rsid w:val="00EE45D8"/>
    <w:rsid w:val="00EE4822"/>
    <w:rsid w:val="00EE5C0A"/>
    <w:rsid w:val="00EE5C4B"/>
    <w:rsid w:val="00EE609C"/>
    <w:rsid w:val="00EE646D"/>
    <w:rsid w:val="00EE6636"/>
    <w:rsid w:val="00EE6B77"/>
    <w:rsid w:val="00EE6CAB"/>
    <w:rsid w:val="00EE6DF5"/>
    <w:rsid w:val="00EE7909"/>
    <w:rsid w:val="00EE7ED9"/>
    <w:rsid w:val="00EF0777"/>
    <w:rsid w:val="00EF09AD"/>
    <w:rsid w:val="00EF0CC9"/>
    <w:rsid w:val="00EF1136"/>
    <w:rsid w:val="00EF11B0"/>
    <w:rsid w:val="00EF130C"/>
    <w:rsid w:val="00EF1F47"/>
    <w:rsid w:val="00EF355C"/>
    <w:rsid w:val="00EF698D"/>
    <w:rsid w:val="00EF6AC9"/>
    <w:rsid w:val="00EF6B0E"/>
    <w:rsid w:val="00EF6D97"/>
    <w:rsid w:val="00EF776B"/>
    <w:rsid w:val="00EF798C"/>
    <w:rsid w:val="00F00286"/>
    <w:rsid w:val="00F003AB"/>
    <w:rsid w:val="00F00563"/>
    <w:rsid w:val="00F005BE"/>
    <w:rsid w:val="00F0149C"/>
    <w:rsid w:val="00F01D19"/>
    <w:rsid w:val="00F0297F"/>
    <w:rsid w:val="00F03A1C"/>
    <w:rsid w:val="00F040DC"/>
    <w:rsid w:val="00F05D8A"/>
    <w:rsid w:val="00F109DA"/>
    <w:rsid w:val="00F11393"/>
    <w:rsid w:val="00F11715"/>
    <w:rsid w:val="00F119B2"/>
    <w:rsid w:val="00F11A89"/>
    <w:rsid w:val="00F11DD9"/>
    <w:rsid w:val="00F11E32"/>
    <w:rsid w:val="00F13964"/>
    <w:rsid w:val="00F1413F"/>
    <w:rsid w:val="00F142BC"/>
    <w:rsid w:val="00F1446C"/>
    <w:rsid w:val="00F15909"/>
    <w:rsid w:val="00F15C82"/>
    <w:rsid w:val="00F15FAC"/>
    <w:rsid w:val="00F166FE"/>
    <w:rsid w:val="00F173A5"/>
    <w:rsid w:val="00F17417"/>
    <w:rsid w:val="00F20537"/>
    <w:rsid w:val="00F20924"/>
    <w:rsid w:val="00F21C97"/>
    <w:rsid w:val="00F23432"/>
    <w:rsid w:val="00F23867"/>
    <w:rsid w:val="00F23B7F"/>
    <w:rsid w:val="00F24092"/>
    <w:rsid w:val="00F2448D"/>
    <w:rsid w:val="00F254E8"/>
    <w:rsid w:val="00F25AE1"/>
    <w:rsid w:val="00F26B1D"/>
    <w:rsid w:val="00F26F32"/>
    <w:rsid w:val="00F26FE0"/>
    <w:rsid w:val="00F27E48"/>
    <w:rsid w:val="00F3086A"/>
    <w:rsid w:val="00F308D8"/>
    <w:rsid w:val="00F312B1"/>
    <w:rsid w:val="00F32110"/>
    <w:rsid w:val="00F326F8"/>
    <w:rsid w:val="00F32992"/>
    <w:rsid w:val="00F32CF7"/>
    <w:rsid w:val="00F32D64"/>
    <w:rsid w:val="00F33140"/>
    <w:rsid w:val="00F33B27"/>
    <w:rsid w:val="00F34B04"/>
    <w:rsid w:val="00F35107"/>
    <w:rsid w:val="00F35147"/>
    <w:rsid w:val="00F35148"/>
    <w:rsid w:val="00F355F8"/>
    <w:rsid w:val="00F368A4"/>
    <w:rsid w:val="00F379DB"/>
    <w:rsid w:val="00F409D3"/>
    <w:rsid w:val="00F40F2A"/>
    <w:rsid w:val="00F422F4"/>
    <w:rsid w:val="00F42AA7"/>
    <w:rsid w:val="00F431F0"/>
    <w:rsid w:val="00F4337F"/>
    <w:rsid w:val="00F43D4B"/>
    <w:rsid w:val="00F43E4F"/>
    <w:rsid w:val="00F45799"/>
    <w:rsid w:val="00F471F3"/>
    <w:rsid w:val="00F47C88"/>
    <w:rsid w:val="00F50D49"/>
    <w:rsid w:val="00F50E45"/>
    <w:rsid w:val="00F515C1"/>
    <w:rsid w:val="00F518B3"/>
    <w:rsid w:val="00F52093"/>
    <w:rsid w:val="00F527C9"/>
    <w:rsid w:val="00F537CE"/>
    <w:rsid w:val="00F53B40"/>
    <w:rsid w:val="00F54372"/>
    <w:rsid w:val="00F54744"/>
    <w:rsid w:val="00F54CE6"/>
    <w:rsid w:val="00F5621D"/>
    <w:rsid w:val="00F56CDF"/>
    <w:rsid w:val="00F56D32"/>
    <w:rsid w:val="00F602C2"/>
    <w:rsid w:val="00F60827"/>
    <w:rsid w:val="00F611D1"/>
    <w:rsid w:val="00F62164"/>
    <w:rsid w:val="00F628CF"/>
    <w:rsid w:val="00F63627"/>
    <w:rsid w:val="00F638B8"/>
    <w:rsid w:val="00F6392C"/>
    <w:rsid w:val="00F63A6F"/>
    <w:rsid w:val="00F64273"/>
    <w:rsid w:val="00F646DF"/>
    <w:rsid w:val="00F64DD7"/>
    <w:rsid w:val="00F65ADE"/>
    <w:rsid w:val="00F65B7F"/>
    <w:rsid w:val="00F669CC"/>
    <w:rsid w:val="00F70058"/>
    <w:rsid w:val="00F70AAE"/>
    <w:rsid w:val="00F70C28"/>
    <w:rsid w:val="00F70C57"/>
    <w:rsid w:val="00F7137C"/>
    <w:rsid w:val="00F7201C"/>
    <w:rsid w:val="00F72892"/>
    <w:rsid w:val="00F72C1D"/>
    <w:rsid w:val="00F73695"/>
    <w:rsid w:val="00F73CBB"/>
    <w:rsid w:val="00F74655"/>
    <w:rsid w:val="00F74B0A"/>
    <w:rsid w:val="00F756FF"/>
    <w:rsid w:val="00F76375"/>
    <w:rsid w:val="00F7784E"/>
    <w:rsid w:val="00F813E7"/>
    <w:rsid w:val="00F8140B"/>
    <w:rsid w:val="00F81941"/>
    <w:rsid w:val="00F821E7"/>
    <w:rsid w:val="00F830C7"/>
    <w:rsid w:val="00F848EB"/>
    <w:rsid w:val="00F84A60"/>
    <w:rsid w:val="00F858B4"/>
    <w:rsid w:val="00F86054"/>
    <w:rsid w:val="00F870BF"/>
    <w:rsid w:val="00F87458"/>
    <w:rsid w:val="00F8777A"/>
    <w:rsid w:val="00F87937"/>
    <w:rsid w:val="00F908A8"/>
    <w:rsid w:val="00F9224E"/>
    <w:rsid w:val="00F924AB"/>
    <w:rsid w:val="00F924E0"/>
    <w:rsid w:val="00F929D6"/>
    <w:rsid w:val="00F92B8F"/>
    <w:rsid w:val="00F9363F"/>
    <w:rsid w:val="00F9372E"/>
    <w:rsid w:val="00F938A5"/>
    <w:rsid w:val="00F938E2"/>
    <w:rsid w:val="00F93EA6"/>
    <w:rsid w:val="00F9441A"/>
    <w:rsid w:val="00F95225"/>
    <w:rsid w:val="00F9523C"/>
    <w:rsid w:val="00F9535C"/>
    <w:rsid w:val="00F9582B"/>
    <w:rsid w:val="00F963FC"/>
    <w:rsid w:val="00F972D2"/>
    <w:rsid w:val="00F97BA7"/>
    <w:rsid w:val="00F97DCE"/>
    <w:rsid w:val="00FA0934"/>
    <w:rsid w:val="00FA0981"/>
    <w:rsid w:val="00FA12D7"/>
    <w:rsid w:val="00FA1934"/>
    <w:rsid w:val="00FA1D49"/>
    <w:rsid w:val="00FA2D55"/>
    <w:rsid w:val="00FA2D5F"/>
    <w:rsid w:val="00FA32F2"/>
    <w:rsid w:val="00FA4506"/>
    <w:rsid w:val="00FA492E"/>
    <w:rsid w:val="00FA4B41"/>
    <w:rsid w:val="00FA6BF3"/>
    <w:rsid w:val="00FA74F1"/>
    <w:rsid w:val="00FB1356"/>
    <w:rsid w:val="00FB25CE"/>
    <w:rsid w:val="00FB27FA"/>
    <w:rsid w:val="00FB282F"/>
    <w:rsid w:val="00FB2E27"/>
    <w:rsid w:val="00FB3027"/>
    <w:rsid w:val="00FB38A5"/>
    <w:rsid w:val="00FB4133"/>
    <w:rsid w:val="00FB452C"/>
    <w:rsid w:val="00FB48D8"/>
    <w:rsid w:val="00FB5A04"/>
    <w:rsid w:val="00FB5E76"/>
    <w:rsid w:val="00FB670C"/>
    <w:rsid w:val="00FB78A5"/>
    <w:rsid w:val="00FB7C3A"/>
    <w:rsid w:val="00FC022F"/>
    <w:rsid w:val="00FC0526"/>
    <w:rsid w:val="00FC0DCB"/>
    <w:rsid w:val="00FC0F3C"/>
    <w:rsid w:val="00FC18AD"/>
    <w:rsid w:val="00FC39EF"/>
    <w:rsid w:val="00FC3FA1"/>
    <w:rsid w:val="00FC41DF"/>
    <w:rsid w:val="00FC4BA0"/>
    <w:rsid w:val="00FC5343"/>
    <w:rsid w:val="00FC56B9"/>
    <w:rsid w:val="00FC6343"/>
    <w:rsid w:val="00FC64C2"/>
    <w:rsid w:val="00FC7086"/>
    <w:rsid w:val="00FC7745"/>
    <w:rsid w:val="00FD0B8E"/>
    <w:rsid w:val="00FD0BE1"/>
    <w:rsid w:val="00FD1061"/>
    <w:rsid w:val="00FD1866"/>
    <w:rsid w:val="00FD1BFF"/>
    <w:rsid w:val="00FD271C"/>
    <w:rsid w:val="00FD3663"/>
    <w:rsid w:val="00FD3E35"/>
    <w:rsid w:val="00FD3FCB"/>
    <w:rsid w:val="00FD48F2"/>
    <w:rsid w:val="00FD6AE8"/>
    <w:rsid w:val="00FD6C72"/>
    <w:rsid w:val="00FD75AA"/>
    <w:rsid w:val="00FD774B"/>
    <w:rsid w:val="00FD7C94"/>
    <w:rsid w:val="00FE0153"/>
    <w:rsid w:val="00FE127B"/>
    <w:rsid w:val="00FE1C7D"/>
    <w:rsid w:val="00FE232C"/>
    <w:rsid w:val="00FE35E7"/>
    <w:rsid w:val="00FE441F"/>
    <w:rsid w:val="00FE4CCD"/>
    <w:rsid w:val="00FE52A0"/>
    <w:rsid w:val="00FE62CE"/>
    <w:rsid w:val="00FE64B7"/>
    <w:rsid w:val="00FE707D"/>
    <w:rsid w:val="00FE7538"/>
    <w:rsid w:val="00FF005E"/>
    <w:rsid w:val="00FF0771"/>
    <w:rsid w:val="00FF0AD4"/>
    <w:rsid w:val="00FF13C7"/>
    <w:rsid w:val="00FF32A3"/>
    <w:rsid w:val="00FF521E"/>
    <w:rsid w:val="00FF550F"/>
    <w:rsid w:val="00FF5AD4"/>
    <w:rsid w:val="00FF7341"/>
    <w:rsid w:val="00FF76F9"/>
    <w:rsid w:val="00FF7E53"/>
    <w:rsid w:val="01A12843"/>
    <w:rsid w:val="03266804"/>
    <w:rsid w:val="03A34360"/>
    <w:rsid w:val="058B52FC"/>
    <w:rsid w:val="05AD418A"/>
    <w:rsid w:val="05FB3B94"/>
    <w:rsid w:val="06506D24"/>
    <w:rsid w:val="07DA6FA5"/>
    <w:rsid w:val="08AE5F5A"/>
    <w:rsid w:val="0A3C2F64"/>
    <w:rsid w:val="0AB54C61"/>
    <w:rsid w:val="0CFD4526"/>
    <w:rsid w:val="0F3617DC"/>
    <w:rsid w:val="10491C57"/>
    <w:rsid w:val="10B94D2E"/>
    <w:rsid w:val="113D3EC3"/>
    <w:rsid w:val="129A720F"/>
    <w:rsid w:val="12DE70F0"/>
    <w:rsid w:val="12EA01E1"/>
    <w:rsid w:val="135059A6"/>
    <w:rsid w:val="13B125F9"/>
    <w:rsid w:val="13CD6A61"/>
    <w:rsid w:val="13FD69CE"/>
    <w:rsid w:val="140C29E3"/>
    <w:rsid w:val="155D3FD8"/>
    <w:rsid w:val="157F3737"/>
    <w:rsid w:val="15D15DF1"/>
    <w:rsid w:val="16F93817"/>
    <w:rsid w:val="19116F4A"/>
    <w:rsid w:val="19B91C96"/>
    <w:rsid w:val="1A4A6184"/>
    <w:rsid w:val="1A866086"/>
    <w:rsid w:val="1AE803F6"/>
    <w:rsid w:val="1B8A6F98"/>
    <w:rsid w:val="1BA24293"/>
    <w:rsid w:val="1C1C3ABA"/>
    <w:rsid w:val="1D3F2DCC"/>
    <w:rsid w:val="1ECD1380"/>
    <w:rsid w:val="1F573FDB"/>
    <w:rsid w:val="1F814B10"/>
    <w:rsid w:val="20EB04B7"/>
    <w:rsid w:val="23B23926"/>
    <w:rsid w:val="23D01228"/>
    <w:rsid w:val="25FD4771"/>
    <w:rsid w:val="2623233F"/>
    <w:rsid w:val="26704FB5"/>
    <w:rsid w:val="26901268"/>
    <w:rsid w:val="28DC6898"/>
    <w:rsid w:val="29B157D3"/>
    <w:rsid w:val="2A2D713F"/>
    <w:rsid w:val="2AB307A3"/>
    <w:rsid w:val="2AC5228B"/>
    <w:rsid w:val="2B0B6562"/>
    <w:rsid w:val="2B24380C"/>
    <w:rsid w:val="2BC61AE6"/>
    <w:rsid w:val="2C36110E"/>
    <w:rsid w:val="2CFE3C67"/>
    <w:rsid w:val="2E353110"/>
    <w:rsid w:val="2EF90416"/>
    <w:rsid w:val="2F2B4309"/>
    <w:rsid w:val="2F600135"/>
    <w:rsid w:val="30CB2BBF"/>
    <w:rsid w:val="31EA3C5B"/>
    <w:rsid w:val="32A9358C"/>
    <w:rsid w:val="338E3F03"/>
    <w:rsid w:val="342B3A7E"/>
    <w:rsid w:val="34C63D0C"/>
    <w:rsid w:val="351B7E68"/>
    <w:rsid w:val="35484E3D"/>
    <w:rsid w:val="3559350C"/>
    <w:rsid w:val="36716924"/>
    <w:rsid w:val="36A46DB4"/>
    <w:rsid w:val="38276931"/>
    <w:rsid w:val="3870429D"/>
    <w:rsid w:val="38AC5ACF"/>
    <w:rsid w:val="397C1CC9"/>
    <w:rsid w:val="3A0A6456"/>
    <w:rsid w:val="3A0C0212"/>
    <w:rsid w:val="3A132D5A"/>
    <w:rsid w:val="3A916FB9"/>
    <w:rsid w:val="3AFD3E8E"/>
    <w:rsid w:val="3B26335A"/>
    <w:rsid w:val="3BDA7340"/>
    <w:rsid w:val="3C7972D1"/>
    <w:rsid w:val="3D12310B"/>
    <w:rsid w:val="3F9C45C7"/>
    <w:rsid w:val="3FFD14FA"/>
    <w:rsid w:val="406E00C4"/>
    <w:rsid w:val="41092CF0"/>
    <w:rsid w:val="4163707A"/>
    <w:rsid w:val="43D31ECB"/>
    <w:rsid w:val="43F13085"/>
    <w:rsid w:val="43F27BD2"/>
    <w:rsid w:val="44164B84"/>
    <w:rsid w:val="443C68B5"/>
    <w:rsid w:val="452E518F"/>
    <w:rsid w:val="454F78C2"/>
    <w:rsid w:val="45A373ED"/>
    <w:rsid w:val="45C20872"/>
    <w:rsid w:val="46F31BFF"/>
    <w:rsid w:val="4730683D"/>
    <w:rsid w:val="47810D03"/>
    <w:rsid w:val="486B4552"/>
    <w:rsid w:val="490E551D"/>
    <w:rsid w:val="49E03BCD"/>
    <w:rsid w:val="49F805EB"/>
    <w:rsid w:val="4A34669A"/>
    <w:rsid w:val="4B0F7658"/>
    <w:rsid w:val="4CB5763E"/>
    <w:rsid w:val="4D6858ED"/>
    <w:rsid w:val="4F205026"/>
    <w:rsid w:val="4FEC5402"/>
    <w:rsid w:val="51041DF5"/>
    <w:rsid w:val="51094579"/>
    <w:rsid w:val="51E62C51"/>
    <w:rsid w:val="52535AE3"/>
    <w:rsid w:val="52925A56"/>
    <w:rsid w:val="536E22A5"/>
    <w:rsid w:val="538E6B22"/>
    <w:rsid w:val="55AC3DD2"/>
    <w:rsid w:val="56113FA4"/>
    <w:rsid w:val="56454A65"/>
    <w:rsid w:val="567C177B"/>
    <w:rsid w:val="568A1040"/>
    <w:rsid w:val="57441828"/>
    <w:rsid w:val="577054CF"/>
    <w:rsid w:val="57A42611"/>
    <w:rsid w:val="57FB4405"/>
    <w:rsid w:val="582B0528"/>
    <w:rsid w:val="58467F04"/>
    <w:rsid w:val="586030DC"/>
    <w:rsid w:val="58E02C45"/>
    <w:rsid w:val="5A615939"/>
    <w:rsid w:val="5AF1551D"/>
    <w:rsid w:val="5B6F6CC7"/>
    <w:rsid w:val="5BA0481A"/>
    <w:rsid w:val="5C546229"/>
    <w:rsid w:val="5D3C2EA4"/>
    <w:rsid w:val="5EEB49C6"/>
    <w:rsid w:val="60E4229A"/>
    <w:rsid w:val="60EF4A80"/>
    <w:rsid w:val="6147058C"/>
    <w:rsid w:val="620478B6"/>
    <w:rsid w:val="62733517"/>
    <w:rsid w:val="627B391D"/>
    <w:rsid w:val="63486730"/>
    <w:rsid w:val="637E48F3"/>
    <w:rsid w:val="63B657B7"/>
    <w:rsid w:val="63ED597D"/>
    <w:rsid w:val="654E7C7A"/>
    <w:rsid w:val="65E4573F"/>
    <w:rsid w:val="663D76C7"/>
    <w:rsid w:val="66B772CC"/>
    <w:rsid w:val="66C866F7"/>
    <w:rsid w:val="66F9306D"/>
    <w:rsid w:val="675D638B"/>
    <w:rsid w:val="6A695915"/>
    <w:rsid w:val="6A80427E"/>
    <w:rsid w:val="6CB30AE5"/>
    <w:rsid w:val="6D00561A"/>
    <w:rsid w:val="6D820A02"/>
    <w:rsid w:val="6DB961D1"/>
    <w:rsid w:val="6E4D4BB2"/>
    <w:rsid w:val="6F3F5606"/>
    <w:rsid w:val="70763E73"/>
    <w:rsid w:val="733A2205"/>
    <w:rsid w:val="73750903"/>
    <w:rsid w:val="7514102E"/>
    <w:rsid w:val="777A5B8C"/>
    <w:rsid w:val="782D07BA"/>
    <w:rsid w:val="78FF64D9"/>
    <w:rsid w:val="79A63953"/>
    <w:rsid w:val="79CC0DC0"/>
    <w:rsid w:val="7A053091"/>
    <w:rsid w:val="7A6A6E29"/>
    <w:rsid w:val="7A7F6462"/>
    <w:rsid w:val="7A834B78"/>
    <w:rsid w:val="7AE76131"/>
    <w:rsid w:val="7B056B00"/>
    <w:rsid w:val="7B8E6AC0"/>
    <w:rsid w:val="7BEB7F5D"/>
    <w:rsid w:val="7C786AD6"/>
    <w:rsid w:val="7D5F281C"/>
    <w:rsid w:val="7D612A56"/>
    <w:rsid w:val="7E5F4C6D"/>
    <w:rsid w:val="7E95154C"/>
    <w:rsid w:val="7ED83E28"/>
    <w:rsid w:val="7F123FB7"/>
    <w:rsid w:val="7F6A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4">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paragraph" w:styleId="5">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25"/>
    <w:qFormat/>
    <w:uiPriority w:val="99"/>
    <w:pPr>
      <w:tabs>
        <w:tab w:val="center" w:leader="hyphen" w:pos="4153"/>
        <w:tab w:val="right" w:pos="8306"/>
      </w:tabs>
      <w:snapToGrid w:val="0"/>
      <w:jc w:val="right"/>
    </w:pPr>
    <w:rPr>
      <w:sz w:val="2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Normal (Web)"/>
    <w:basedOn w:val="1"/>
    <w:unhideWhenUsed/>
    <w:qFormat/>
    <w:uiPriority w:val="99"/>
    <w:pPr>
      <w:spacing w:before="100" w:beforeAutospacing="1" w:after="100" w:afterAutospacing="1"/>
      <w:jc w:val="left"/>
    </w:pPr>
    <w:rPr>
      <w:rFonts w:ascii="Calibri" w:hAnsi="Calibri" w:eastAsia="宋体"/>
      <w:kern w:val="0"/>
      <w:sz w:val="24"/>
    </w:rPr>
  </w:style>
  <w:style w:type="paragraph" w:styleId="17">
    <w:name w:val="Title"/>
    <w:basedOn w:val="1"/>
    <w:qFormat/>
    <w:uiPriority w:val="0"/>
    <w:pPr>
      <w:spacing w:before="240" w:after="60"/>
      <w:jc w:val="center"/>
      <w:outlineLvl w:val="0"/>
    </w:pPr>
    <w:rPr>
      <w:rFonts w:eastAsia="华康简标题宋" w:cs="Arial"/>
      <w:bCs/>
      <w:sz w:val="44"/>
      <w:szCs w:val="32"/>
    </w:rPr>
  </w:style>
  <w:style w:type="character" w:styleId="20">
    <w:name w:val="Strong"/>
    <w:basedOn w:val="19"/>
    <w:qFormat/>
    <w:uiPriority w:val="0"/>
    <w:rPr>
      <w:b/>
      <w:szCs w:val="20"/>
    </w:rPr>
  </w:style>
  <w:style w:type="character" w:styleId="21">
    <w:name w:val="page number"/>
    <w:qFormat/>
    <w:uiPriority w:val="0"/>
    <w:rPr>
      <w:rFonts w:ascii="Times New Roman" w:hAnsi="Times New Roman" w:eastAsia="仿宋_GB2312"/>
      <w:sz w:val="28"/>
      <w:szCs w:val="20"/>
      <w:lang w:eastAsia="zh-CN"/>
    </w:rPr>
  </w:style>
  <w:style w:type="character" w:styleId="22">
    <w:name w:val="Hyperlink"/>
    <w:basedOn w:val="19"/>
    <w:semiHidden/>
    <w:unhideWhenUsed/>
    <w:qFormat/>
    <w:uiPriority w:val="99"/>
    <w:rPr>
      <w:color w:val="0000FF"/>
      <w:u w:val="single"/>
    </w:rPr>
  </w:style>
  <w:style w:type="character" w:customStyle="1" w:styleId="23">
    <w:name w:val="apple-converted-space"/>
    <w:basedOn w:val="19"/>
    <w:qFormat/>
    <w:uiPriority w:val="0"/>
    <w:rPr>
      <w:szCs w:val="20"/>
    </w:rPr>
  </w:style>
  <w:style w:type="paragraph" w:customStyle="1" w:styleId="24">
    <w:name w:val="Char Char Char Char Char Char Char Char Char Char"/>
    <w:basedOn w:val="1"/>
    <w:qFormat/>
    <w:uiPriority w:val="0"/>
    <w:pPr>
      <w:widowControl/>
      <w:spacing w:after="160" w:line="240" w:lineRule="exact"/>
      <w:jc w:val="left"/>
    </w:pPr>
    <w:rPr>
      <w:szCs w:val="20"/>
    </w:rPr>
  </w:style>
  <w:style w:type="character" w:customStyle="1" w:styleId="25">
    <w:name w:val="页脚 Char"/>
    <w:basedOn w:val="19"/>
    <w:link w:val="14"/>
    <w:qFormat/>
    <w:uiPriority w:val="99"/>
    <w:rPr>
      <w:rFonts w:eastAsia="仿宋_GB2312"/>
      <w:kern w:val="2"/>
      <w:sz w:val="28"/>
      <w:szCs w:val="18"/>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6495;\&#24066;&#24220;\&#19996;&#24220;&#21150;&#2098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046B-F7FA-4A1A-B8AB-5F303E6ED772}">
  <ds:schemaRefs/>
</ds:datastoreItem>
</file>

<file path=docProps/app.xml><?xml version="1.0" encoding="utf-8"?>
<Properties xmlns="http://schemas.openxmlformats.org/officeDocument/2006/extended-properties" xmlns:vt="http://schemas.openxmlformats.org/officeDocument/2006/docPropsVTypes">
  <Template>东府办函模板</Template>
  <Company>市国土资源局</Company>
  <Pages>19</Pages>
  <Words>7855</Words>
  <Characters>236</Characters>
  <Lines>1</Lines>
  <Paragraphs>16</Paragraphs>
  <TotalTime>49</TotalTime>
  <ScaleCrop>false</ScaleCrop>
  <LinksUpToDate>false</LinksUpToDate>
  <CharactersWithSpaces>8075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2021-07-07T02:25:00Z</dcterms:created>
  <dc:creator>君</dc:creator>
  <cp:lastModifiedBy>Administrator</cp:lastModifiedBy>
  <cp:lastPrinted>2021-07-07T06:51:00Z</cp:lastPrinted>
  <dcterms:modified xsi:type="dcterms:W3CDTF">2025-03-04T07:24:58Z</dcterms:modified>
  <dc:title>关于的意见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C4B374350E2D4372ABE8A51D9F0419E1</vt:lpwstr>
  </property>
</Properties>
</file>