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eastAsia="黑体"/>
          <w:color w:val="000000"/>
        </w:rPr>
      </w:pPr>
      <w:r>
        <w:rPr>
          <w:rFonts w:hint="eastAsia" w:eastAsia="黑体" w:cs="黑体"/>
          <w:color w:val="000000"/>
        </w:rPr>
        <w:t>附件</w:t>
      </w:r>
      <w:r>
        <w:rPr>
          <w:rFonts w:hint="eastAsia" w:eastAsia="黑体" w:cs="黑体"/>
          <w:color w:val="000000"/>
          <w:lang w:val="en-US" w:eastAsia="zh-CN"/>
        </w:rPr>
        <w:t>1</w:t>
      </w:r>
    </w:p>
    <w:p>
      <w:pPr>
        <w:snapToGrid w:val="0"/>
        <w:spacing w:line="560" w:lineRule="exact"/>
        <w:jc w:val="left"/>
        <w:rPr>
          <w:rFonts w:eastAsia="黑体"/>
          <w:color w:val="000000"/>
        </w:rPr>
      </w:pPr>
      <w:bookmarkStart w:id="0" w:name="_GoBack"/>
      <w:bookmarkEnd w:id="0"/>
    </w:p>
    <w:p>
      <w:pPr>
        <w:pStyle w:val="8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XX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单元（项目）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改造方案</w:t>
      </w:r>
    </w:p>
    <w:p>
      <w:pPr>
        <w:pStyle w:val="8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napToGrid w:val="0"/>
        <w:spacing w:line="560" w:lineRule="exact"/>
        <w:ind w:firstLine="675"/>
        <w:rPr>
          <w:color w:val="000000"/>
        </w:rPr>
      </w:pPr>
      <w:r>
        <w:rPr>
          <w:rFonts w:hint="eastAsia" w:cs="仿宋_GB2312"/>
          <w:color w:val="000000"/>
        </w:rPr>
        <w:t>根据</w:t>
      </w:r>
      <w:r>
        <w:rPr>
          <w:rFonts w:hint="eastAsia"/>
          <w:color w:val="000000"/>
        </w:rPr>
        <w:t>城市</w:t>
      </w:r>
      <w:r>
        <w:rPr>
          <w:color w:val="000000"/>
        </w:rPr>
        <w:t>更新</w:t>
      </w:r>
      <w:r>
        <w:rPr>
          <w:rFonts w:hint="eastAsia"/>
          <w:color w:val="000000"/>
          <w:lang w:eastAsia="zh-CN"/>
        </w:rPr>
        <w:t>相关政策</w:t>
      </w:r>
      <w:r>
        <w:rPr>
          <w:rFonts w:hint="eastAsia" w:cs="仿宋_GB2312"/>
          <w:color w:val="000000"/>
        </w:rPr>
        <w:t>，</w:t>
      </w:r>
      <w:r>
        <w:rPr>
          <w:color w:val="000000"/>
        </w:rPr>
        <w:t>××</w:t>
      </w:r>
      <w:r>
        <w:rPr>
          <w:rFonts w:hint="eastAsia" w:cs="仿宋_GB2312"/>
          <w:color w:val="000000"/>
          <w:lang w:eastAsia="zh-CN"/>
        </w:rPr>
        <w:t>（改造主体）</w:t>
      </w:r>
      <w:r>
        <w:rPr>
          <w:rFonts w:hint="eastAsia" w:cs="仿宋_GB2312"/>
          <w:color w:val="000000"/>
        </w:rPr>
        <w:t>拟对位于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（用地位置）的旧厂房</w:t>
      </w:r>
      <w:r>
        <w:rPr>
          <w:rFonts w:hint="eastAsia" w:cs="仿宋_GB2312"/>
          <w:color w:val="000000"/>
          <w:lang w:eastAsia="zh-CN"/>
        </w:rPr>
        <w:t>用地</w:t>
      </w:r>
      <w:r>
        <w:rPr>
          <w:rFonts w:hint="eastAsia" w:cs="仿宋_GB2312"/>
          <w:color w:val="000000"/>
        </w:rPr>
        <w:t>进行改造。改造方案如下：</w:t>
      </w:r>
    </w:p>
    <w:p>
      <w:pPr>
        <w:numPr>
          <w:ilvl w:val="0"/>
          <w:numId w:val="1"/>
        </w:numPr>
        <w:snapToGrid w:val="0"/>
        <w:spacing w:line="560" w:lineRule="exact"/>
        <w:ind w:firstLine="675"/>
        <w:rPr>
          <w:rFonts w:eastAsia="黑体"/>
          <w:color w:val="000000"/>
        </w:rPr>
      </w:pPr>
      <w:r>
        <w:rPr>
          <w:rFonts w:hint="eastAsia" w:eastAsia="黑体" w:cs="黑体"/>
          <w:color w:val="000000"/>
        </w:rPr>
        <w:t>改造地块的基本情况</w:t>
      </w:r>
    </w:p>
    <w:p>
      <w:pPr>
        <w:snapToGrid w:val="0"/>
        <w:spacing w:line="560" w:lineRule="exact"/>
        <w:ind w:firstLine="675"/>
        <w:rPr>
          <w:color w:val="000000"/>
        </w:rPr>
      </w:pPr>
      <w:r>
        <w:rPr>
          <w:rFonts w:hint="eastAsia" w:cs="仿宋_GB2312"/>
          <w:color w:val="000000"/>
        </w:rPr>
        <w:t>改造地块位于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（用地位置），总面积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公顷。其中国有建设用地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公顷（集体建设用地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公顷）。已纳入“三旧”改造标图建库，编号为：</w:t>
      </w:r>
      <w:r>
        <w:rPr>
          <w:color w:val="000000"/>
        </w:rPr>
        <w:t>××××××</w:t>
      </w:r>
      <w:r>
        <w:rPr>
          <w:rFonts w:hint="eastAsia" w:cs="仿宋_GB2312"/>
          <w:color w:val="000000"/>
        </w:rPr>
        <w:t>。改造涉及的房屋、土地权属清晰（或已经确权、登记），分别属于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（单位）所有。</w:t>
      </w:r>
    </w:p>
    <w:p>
      <w:pPr>
        <w:snapToGrid w:val="0"/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hint="eastAsia" w:eastAsia="黑体" w:cs="黑体"/>
          <w:color w:val="000000"/>
        </w:rPr>
        <w:t>二、规划情况</w:t>
      </w:r>
    </w:p>
    <w:p>
      <w:pPr>
        <w:snapToGrid w:val="0"/>
        <w:spacing w:line="560" w:lineRule="exact"/>
        <w:ind w:firstLine="640"/>
        <w:rPr>
          <w:color w:val="000000"/>
        </w:rPr>
      </w:pPr>
      <w:r>
        <w:rPr>
          <w:rFonts w:hint="eastAsia" w:cs="仿宋_GB2312"/>
          <w:color w:val="000000"/>
        </w:rPr>
        <w:t>改造地块符合土地利用总体规划和城乡规划，已纳入</w:t>
      </w:r>
      <w:r>
        <w:rPr>
          <w:color w:val="000000"/>
        </w:rPr>
        <w:t>××</w:t>
      </w:r>
      <w:r>
        <w:rPr>
          <w:rFonts w:hint="eastAsia" w:cs="仿宋_GB2312"/>
          <w:color w:val="000000"/>
          <w:lang w:eastAsia="zh-CN"/>
        </w:rPr>
        <w:t>镇（街道）</w:t>
      </w:r>
      <w:r>
        <w:rPr>
          <w:rFonts w:hint="eastAsia"/>
          <w:color w:val="000000"/>
        </w:rPr>
        <w:t>城市</w:t>
      </w:r>
      <w:r>
        <w:rPr>
          <w:color w:val="000000"/>
        </w:rPr>
        <w:t>更新专项</w:t>
      </w:r>
      <w:r>
        <w:rPr>
          <w:rFonts w:hint="eastAsia" w:cs="仿宋_GB2312"/>
          <w:color w:val="000000"/>
        </w:rPr>
        <w:t>规划，并已编制控制性详细规划。</w:t>
      </w:r>
    </w:p>
    <w:p>
      <w:pPr>
        <w:snapToGrid w:val="0"/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hint="eastAsia" w:eastAsia="黑体" w:cs="黑体"/>
          <w:color w:val="000000"/>
        </w:rPr>
        <w:t>三、土地利用现状情况</w:t>
      </w:r>
    </w:p>
    <w:p>
      <w:pPr>
        <w:snapToGrid w:val="0"/>
        <w:spacing w:line="560" w:lineRule="exact"/>
        <w:ind w:firstLine="640"/>
        <w:rPr>
          <w:color w:val="000000"/>
        </w:rPr>
      </w:pPr>
      <w:r>
        <w:rPr>
          <w:rFonts w:hint="eastAsia" w:cs="仿宋_GB2312"/>
          <w:color w:val="000000"/>
        </w:rPr>
        <w:t>该地块现用途为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，为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（单位）自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年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月开始使用。现有建筑面积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平方米，容积率为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，年产值为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万元。</w:t>
      </w:r>
    </w:p>
    <w:p>
      <w:pPr>
        <w:snapToGrid w:val="0"/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hint="eastAsia" w:eastAsia="黑体" w:cs="黑体"/>
          <w:color w:val="000000"/>
        </w:rPr>
        <w:t>四、协议补偿情况</w:t>
      </w:r>
    </w:p>
    <w:p>
      <w:pPr>
        <w:snapToGrid w:val="0"/>
        <w:spacing w:line="560" w:lineRule="exact"/>
        <w:ind w:firstLine="640" w:firstLineChars="200"/>
        <w:rPr>
          <w:color w:val="000000"/>
        </w:rPr>
      </w:pPr>
      <w:r>
        <w:rPr>
          <w:rFonts w:hint="eastAsia" w:cs="仿宋_GB2312"/>
          <w:color w:val="000000"/>
        </w:rPr>
        <w:t>（具体讲述地上建筑物安置补偿的情况）。拟由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（单位）作为改造主体。截至目前，该宗地的补偿安置等问题未引发任何纠纷。</w:t>
      </w:r>
    </w:p>
    <w:p>
      <w:pPr>
        <w:snapToGrid w:val="0"/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hint="eastAsia" w:eastAsia="黑体" w:cs="黑体"/>
          <w:color w:val="000000"/>
        </w:rPr>
        <w:t>五、土地拟改造情况</w:t>
      </w:r>
    </w:p>
    <w:p>
      <w:pPr>
        <w:snapToGrid w:val="0"/>
        <w:spacing w:line="560" w:lineRule="exact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 w:cs="仿宋_GB2312"/>
          <w:color w:val="000000"/>
        </w:rPr>
        <w:t>根据有关规划安排，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市（县）人民政府拟采用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方式供地，由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（</w:t>
      </w:r>
      <w:r>
        <w:rPr>
          <w:rFonts w:hint="eastAsia" w:cs="仿宋_GB2312"/>
          <w:color w:val="000000"/>
          <w:lang w:val="en-US" w:eastAsia="zh-CN"/>
        </w:rPr>
        <w:t>改造主体</w:t>
      </w:r>
      <w:r>
        <w:rPr>
          <w:rFonts w:hint="eastAsia" w:cs="仿宋_GB2312"/>
          <w:color w:val="000000"/>
        </w:rPr>
        <w:t>）采取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方式（具体讲述改造方式）进行改造，投入改造资金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万元。改造后，该宗土地将用于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（具体的用途和产业），建筑面积为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平方米，容积率为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，预计年产值将达到</w:t>
      </w:r>
      <w:r>
        <w:rPr>
          <w:color w:val="000000"/>
        </w:rPr>
        <w:t>××</w:t>
      </w:r>
      <w:r>
        <w:rPr>
          <w:rFonts w:hint="eastAsia" w:cs="仿宋_GB2312"/>
          <w:color w:val="000000"/>
        </w:rPr>
        <w:t>万元（或改造后的综合效益情况）。</w:t>
      </w:r>
    </w:p>
    <w:p>
      <w:pPr>
        <w:snapToGrid w:val="0"/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hint="eastAsia" w:eastAsia="黑体" w:cs="黑体"/>
          <w:color w:val="000000"/>
        </w:rPr>
        <w:t>六、其他相关情况</w:t>
      </w:r>
    </w:p>
    <w:p>
      <w:pPr>
        <w:snapToGrid w:val="0"/>
        <w:spacing w:line="560" w:lineRule="exact"/>
        <w:ind w:firstLine="640"/>
        <w:rPr>
          <w:color w:val="000000"/>
        </w:rPr>
      </w:pPr>
      <w:r>
        <w:rPr>
          <w:rFonts w:hint="eastAsia" w:cs="仿宋_GB2312"/>
          <w:color w:val="000000"/>
        </w:rPr>
        <w:t>可根据实际工作需要明确资金筹措、开发时序、实施监管等相关内容。</w:t>
      </w:r>
      <w:r>
        <w:rPr>
          <w:color w:val="000000"/>
        </w:rPr>
        <w:t xml:space="preserve">    </w:t>
      </w:r>
    </w:p>
    <w:p>
      <w:pPr>
        <w:snapToGrid w:val="0"/>
        <w:spacing w:line="560" w:lineRule="exact"/>
        <w:ind w:firstLine="640"/>
        <w:rPr>
          <w:color w:val="000000"/>
        </w:rPr>
      </w:pPr>
    </w:p>
    <w:p>
      <w:pPr>
        <w:snapToGrid w:val="0"/>
        <w:spacing w:line="560" w:lineRule="exact"/>
        <w:ind w:firstLine="640"/>
        <w:rPr>
          <w:color w:val="000000"/>
        </w:rPr>
      </w:pPr>
    </w:p>
    <w:p>
      <w:pPr>
        <w:snapToGrid w:val="0"/>
        <w:spacing w:line="560" w:lineRule="exact"/>
        <w:ind w:firstLine="640"/>
        <w:rPr>
          <w:color w:val="000000"/>
        </w:rPr>
      </w:pPr>
    </w:p>
    <w:p>
      <w:pPr>
        <w:wordWrap w:val="0"/>
        <w:snapToGrid w:val="0"/>
        <w:spacing w:line="560" w:lineRule="exact"/>
        <w:jc w:val="right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改造主体：    </w:t>
      </w:r>
    </w:p>
    <w:p>
      <w:pPr>
        <w:snapToGrid w:val="0"/>
        <w:spacing w:line="560" w:lineRule="exact"/>
        <w:jc w:val="righ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年  月  日</w:t>
      </w:r>
    </w:p>
    <w:p>
      <w:pPr>
        <w:wordWrap w:val="0"/>
        <w:snapToGrid w:val="0"/>
        <w:spacing w:line="560" w:lineRule="exact"/>
        <w:jc w:val="right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（加盖公章）</w:t>
      </w:r>
    </w:p>
    <w:p>
      <w:pPr>
        <w:snapToGrid w:val="0"/>
        <w:spacing w:line="560" w:lineRule="exact"/>
        <w:jc w:val="right"/>
        <w:rPr>
          <w:rFonts w:hint="default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B26"/>
    <w:rsid w:val="000345A0"/>
    <w:rsid w:val="00055C61"/>
    <w:rsid w:val="00084EF3"/>
    <w:rsid w:val="00091D7C"/>
    <w:rsid w:val="00096AAF"/>
    <w:rsid w:val="000B078D"/>
    <w:rsid w:val="000B622C"/>
    <w:rsid w:val="000F4CDC"/>
    <w:rsid w:val="00113C3F"/>
    <w:rsid w:val="00175EDE"/>
    <w:rsid w:val="0026300B"/>
    <w:rsid w:val="002E3B0A"/>
    <w:rsid w:val="00342317"/>
    <w:rsid w:val="003526F4"/>
    <w:rsid w:val="00364294"/>
    <w:rsid w:val="00367E1F"/>
    <w:rsid w:val="003B3353"/>
    <w:rsid w:val="003B5005"/>
    <w:rsid w:val="003C2E47"/>
    <w:rsid w:val="00430B26"/>
    <w:rsid w:val="0046575F"/>
    <w:rsid w:val="004807CB"/>
    <w:rsid w:val="004B54D8"/>
    <w:rsid w:val="004C7992"/>
    <w:rsid w:val="004F0C0F"/>
    <w:rsid w:val="005C5386"/>
    <w:rsid w:val="005E03C6"/>
    <w:rsid w:val="0062236C"/>
    <w:rsid w:val="006266C2"/>
    <w:rsid w:val="00641233"/>
    <w:rsid w:val="006C684A"/>
    <w:rsid w:val="00762567"/>
    <w:rsid w:val="00767CA8"/>
    <w:rsid w:val="00790529"/>
    <w:rsid w:val="007966B0"/>
    <w:rsid w:val="007B1481"/>
    <w:rsid w:val="007F17DE"/>
    <w:rsid w:val="00802061"/>
    <w:rsid w:val="00857836"/>
    <w:rsid w:val="00867549"/>
    <w:rsid w:val="00900D84"/>
    <w:rsid w:val="0092724F"/>
    <w:rsid w:val="00976FD1"/>
    <w:rsid w:val="009B3235"/>
    <w:rsid w:val="009E0B27"/>
    <w:rsid w:val="00A0761C"/>
    <w:rsid w:val="00A15849"/>
    <w:rsid w:val="00A25CF8"/>
    <w:rsid w:val="00A363CF"/>
    <w:rsid w:val="00AF481D"/>
    <w:rsid w:val="00B26E21"/>
    <w:rsid w:val="00C44304"/>
    <w:rsid w:val="00C81BDE"/>
    <w:rsid w:val="00D87E9B"/>
    <w:rsid w:val="00DD1BE3"/>
    <w:rsid w:val="00E63D44"/>
    <w:rsid w:val="00F067B1"/>
    <w:rsid w:val="00F14958"/>
    <w:rsid w:val="00F71414"/>
    <w:rsid w:val="00FC5608"/>
    <w:rsid w:val="01BA1CFB"/>
    <w:rsid w:val="0D8403C9"/>
    <w:rsid w:val="15870756"/>
    <w:rsid w:val="26D627A0"/>
    <w:rsid w:val="2B352AE4"/>
    <w:rsid w:val="335A4691"/>
    <w:rsid w:val="48AF4F25"/>
    <w:rsid w:val="532C0AD6"/>
    <w:rsid w:val="5DCC4393"/>
    <w:rsid w:val="619603BE"/>
    <w:rsid w:val="64425B7C"/>
    <w:rsid w:val="66B1474C"/>
    <w:rsid w:val="6A143602"/>
    <w:rsid w:val="707F79F4"/>
    <w:rsid w:val="74953E91"/>
    <w:rsid w:val="75F97A35"/>
    <w:rsid w:val="769444D9"/>
    <w:rsid w:val="7F7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qFormat/>
    <w:uiPriority w:val="99"/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character" w:customStyle="1" w:styleId="6">
    <w:name w:val="日期 Char"/>
    <w:link w:val="2"/>
    <w:semiHidden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paragraph" w:customStyle="1" w:styleId="7">
    <w:name w:val="Char Char1 Char Char"/>
    <w:basedOn w:val="1"/>
    <w:qFormat/>
    <w:uiPriority w:val="99"/>
  </w:style>
  <w:style w:type="paragraph" w:customStyle="1" w:styleId="8">
    <w:name w:val="_Style 1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character" w:customStyle="1" w:styleId="9">
    <w:name w:val="批注框文本 Char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547</Characters>
  <Lines>4</Lines>
  <Paragraphs>1</Paragraphs>
  <TotalTime>12</TotalTime>
  <ScaleCrop>false</ScaleCrop>
  <LinksUpToDate>false</LinksUpToDate>
  <CharactersWithSpaces>641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2018-08-24T09:51:00Z</dcterms:created>
  <dc:creator>sanjiuban</dc:creator>
  <cp:lastModifiedBy>东</cp:lastModifiedBy>
  <cp:lastPrinted>2019-03-12T09:54:00Z</cp:lastPrinted>
  <dcterms:modified xsi:type="dcterms:W3CDTF">2020-08-11T02:55:18Z</dcterms:modified>
  <dc:title>东莞市城市更新局关于印发“三旧”改造方案报批材料清单及范本的通知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