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6C9B">
      <w:pPr>
        <w:tabs>
          <w:tab w:val="left" w:pos="2190"/>
        </w:tabs>
        <w:adjustRightInd w:val="0"/>
        <w:snapToGrid w:val="0"/>
        <w:spacing w:line="560" w:lineRule="exact"/>
        <w:outlineLvl w:val="2"/>
        <w:rPr>
          <w:rFonts w:hint="eastAsia"/>
        </w:rPr>
      </w:pPr>
      <w:r>
        <w:rPr>
          <w:rFonts w:hint="default" w:eastAsia="黑体"/>
        </w:rPr>
        <w:t>附件4</w:t>
      </w:r>
      <w:r>
        <w:tab/>
      </w:r>
    </w:p>
    <w:p w14:paraId="48746421">
      <w:pPr>
        <w:tabs>
          <w:tab w:val="left" w:pos="2190"/>
        </w:tabs>
        <w:adjustRightInd w:val="0"/>
        <w:snapToGrid w:val="0"/>
        <w:spacing w:line="560" w:lineRule="exact"/>
        <w:outlineLvl w:val="2"/>
      </w:pPr>
    </w:p>
    <w:p w14:paraId="2DE06078">
      <w:pPr>
        <w:pStyle w:val="2"/>
        <w:keepNext w:val="0"/>
        <w:keepLines w:val="0"/>
        <w:widowControl w:val="0"/>
        <w:numPr>
          <w:ilvl w:val="0"/>
          <w:numId w:val="0"/>
        </w:numPr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规划设计大赛评审标准</w:t>
      </w:r>
    </w:p>
    <w:p w14:paraId="31DD73DC">
      <w:pPr>
        <w:pStyle w:val="2"/>
        <w:numPr>
          <w:ilvl w:val="0"/>
          <w:numId w:val="0"/>
        </w:numPr>
        <w:snapToGrid w:val="0"/>
        <w:spacing w:line="560" w:lineRule="exact"/>
        <w:ind w:firstLineChars="2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002B420">
      <w:pPr>
        <w:adjustRightInd w:val="0"/>
        <w:snapToGrid w:val="0"/>
        <w:spacing w:line="560" w:lineRule="exact"/>
        <w:ind w:firstLine="640" w:firstLineChars="200"/>
        <w:rPr>
          <w:color w:val="000000"/>
        </w:rPr>
      </w:pPr>
      <w:r>
        <w:rPr>
          <w:color w:val="000000"/>
        </w:rPr>
        <w:t>作品方案应围绕</w:t>
      </w:r>
      <w:r>
        <w:rPr>
          <w:rFonts w:hint="eastAsia"/>
          <w:color w:val="000000"/>
          <w:lang w:eastAsia="zh-CN"/>
        </w:rPr>
        <w:t>“</w:t>
      </w:r>
      <w:r>
        <w:rPr>
          <w:color w:val="000000"/>
        </w:rPr>
        <w:t>抬头编规划</w:t>
      </w:r>
      <w:r>
        <w:rPr>
          <w:rFonts w:hint="eastAsia"/>
          <w:color w:val="000000"/>
          <w:lang w:eastAsia="zh-CN"/>
        </w:rPr>
        <w:t>”“</w:t>
      </w:r>
      <w:r>
        <w:rPr>
          <w:color w:val="000000"/>
        </w:rPr>
        <w:t>开门编规划</w:t>
      </w:r>
      <w:r>
        <w:rPr>
          <w:rFonts w:hint="eastAsia"/>
          <w:color w:val="000000"/>
          <w:lang w:eastAsia="zh-CN"/>
        </w:rPr>
        <w:t>”“</w:t>
      </w:r>
      <w:r>
        <w:rPr>
          <w:color w:val="000000"/>
        </w:rPr>
        <w:t>赤脚编规划</w:t>
      </w:r>
      <w:r>
        <w:rPr>
          <w:rFonts w:hint="eastAsia"/>
          <w:color w:val="000000"/>
          <w:lang w:eastAsia="zh-CN"/>
        </w:rPr>
        <w:t>”</w:t>
      </w:r>
      <w:r>
        <w:rPr>
          <w:color w:val="000000"/>
        </w:rPr>
        <w:t>，坚持以人民为中心，适应当地生产生活生态，响应当地真实需求，以</w:t>
      </w:r>
      <w:r>
        <w:rPr>
          <w:rFonts w:hint="eastAsia"/>
          <w:color w:val="000000"/>
          <w:lang w:eastAsia="zh-CN"/>
        </w:rPr>
        <w:t>“</w:t>
      </w:r>
      <w:r>
        <w:rPr>
          <w:color w:val="000000"/>
        </w:rPr>
        <w:t>安全、经济、适用、美观</w:t>
      </w:r>
      <w:r>
        <w:rPr>
          <w:rFonts w:hint="eastAsia"/>
          <w:color w:val="000000"/>
          <w:lang w:eastAsia="zh-CN"/>
        </w:rPr>
        <w:t>”</w:t>
      </w:r>
      <w:r>
        <w:rPr>
          <w:color w:val="000000"/>
        </w:rPr>
        <w:t>为导向，展现</w:t>
      </w:r>
      <w:r>
        <w:rPr>
          <w:rFonts w:hint="eastAsia"/>
          <w:color w:val="000000"/>
          <w:lang w:eastAsia="zh-CN"/>
        </w:rPr>
        <w:t>“</w:t>
      </w:r>
      <w:r>
        <w:rPr>
          <w:color w:val="000000"/>
        </w:rPr>
        <w:t>百</w:t>
      </w:r>
      <w:bookmarkStart w:id="0" w:name="_GoBack"/>
      <w:bookmarkEnd w:id="0"/>
      <w:r>
        <w:rPr>
          <w:color w:val="000000"/>
        </w:rPr>
        <w:t>千万工程</w:t>
      </w:r>
      <w:r>
        <w:rPr>
          <w:rFonts w:hint="eastAsia"/>
          <w:color w:val="000000"/>
          <w:lang w:eastAsia="zh-CN"/>
        </w:rPr>
        <w:t>”</w:t>
      </w:r>
      <w:r>
        <w:rPr>
          <w:color w:val="000000"/>
        </w:rPr>
        <w:t>实施成效。大赛从文化、美观、生态、社会、技术等方面对参赛作品进行评选。</w:t>
      </w:r>
    </w:p>
    <w:p w14:paraId="21AD3013">
      <w:pPr>
        <w:adjustRightInd w:val="0"/>
        <w:snapToGrid w:val="0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一、</w:t>
      </w:r>
      <w:r>
        <w:rPr>
          <w:color w:val="000000"/>
        </w:rPr>
        <w:t>文化方面：充分展现东莞本地的地域文化特色，充分挖掘本土文化底蕴与内涵，讲好东莞故事。鼓励参赛者采用符合现代审美的设计手法，对传统民居要素进行现代演绎，塑造广府、客家、岭南水乡等具有地方特色的乡村风貌。同时加强古树名木、特色民居和传统村落保护利用，守住乡村文化根脉。涵育多彩多姿的青山绿水、江河水道、林木农田，传承充满浓浓乡愁的东莞本地文化韵味。</w:t>
      </w:r>
    </w:p>
    <w:p w14:paraId="61027DF3">
      <w:pPr>
        <w:adjustRightInd w:val="0"/>
        <w:snapToGrid w:val="0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二、</w:t>
      </w:r>
      <w:r>
        <w:rPr>
          <w:color w:val="000000"/>
        </w:rPr>
        <w:t>美观方面：坚持社会主义核心价值观，遵循公序良俗和大众审美取向，推动城乡风貌焕发新光彩，尊重乡村传统风貌及空间机理，处理好新建建筑与自然环境及周边既有建筑的关系。</w:t>
      </w:r>
    </w:p>
    <w:p w14:paraId="08ABA2E4">
      <w:pPr>
        <w:adjustRightInd w:val="0"/>
        <w:snapToGrid w:val="0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三、</w:t>
      </w:r>
      <w:r>
        <w:rPr>
          <w:color w:val="000000"/>
        </w:rPr>
        <w:t>生态方面：从镇域、村域、村落、村居不同尺度，合理安排三生空间，遵循近自然的保护修复原则，保护提升生态系统的多样性、稳定性和可持续性，深入贯彻全生命周期理念，鼓励因地制宜、就地取材，运用本地材料、树种，注重节能、节地、节水、节材，探索现代宜居、绿色、环保、生态的可持续发展新路径。</w:t>
      </w:r>
    </w:p>
    <w:p w14:paraId="7F874141">
      <w:pPr>
        <w:adjustRightInd w:val="0"/>
        <w:snapToGrid w:val="0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四、</w:t>
      </w:r>
      <w:r>
        <w:rPr>
          <w:color w:val="000000"/>
        </w:rPr>
        <w:t>社会方面：坚持以人为本、共建共治共享、突显社会效益，一是鼓励开展走访座谈、实地踏勘、问卷调查、驻村体验、资料收集等方式了解村民需求，积极采纳村民意见；二是向村民宣传乡村风貌建设工作，增强村民注重规划设计、建设乡村风貌、参与</w:t>
      </w:r>
      <w:r>
        <w:rPr>
          <w:rFonts w:hint="eastAsia"/>
          <w:color w:val="000000"/>
          <w:lang w:eastAsia="zh-CN"/>
        </w:rPr>
        <w:t>“</w:t>
      </w:r>
      <w:r>
        <w:rPr>
          <w:color w:val="000000"/>
        </w:rPr>
        <w:t>百千万工程</w:t>
      </w:r>
      <w:r>
        <w:rPr>
          <w:rFonts w:hint="eastAsia"/>
          <w:color w:val="000000"/>
          <w:lang w:eastAsia="zh-CN"/>
        </w:rPr>
        <w:t>”</w:t>
      </w:r>
      <w:r>
        <w:rPr>
          <w:color w:val="000000"/>
        </w:rPr>
        <w:t>实施的意识；三是展现规划设计实践成效，对社会治理、经济发展、党建引领、居民幸福感等方面带来效益。</w:t>
      </w:r>
    </w:p>
    <w:p w14:paraId="575C6982">
      <w:pPr>
        <w:adjustRightInd w:val="0"/>
        <w:snapToGrid w:val="0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五、</w:t>
      </w:r>
      <w:r>
        <w:rPr>
          <w:color w:val="000000"/>
        </w:rPr>
        <w:t>技术方面：提倡采用经济实用、科学合理的设计方式，运用新理念、新技术、新材料、新工艺，设计作品应符合</w:t>
      </w:r>
      <w:r>
        <w:rPr>
          <w:rFonts w:hint="eastAsia"/>
          <w:color w:val="000000"/>
          <w:lang w:eastAsia="zh-CN"/>
        </w:rPr>
        <w:t>“</w:t>
      </w:r>
      <w:r>
        <w:rPr>
          <w:color w:val="000000"/>
        </w:rPr>
        <w:t>百千万工程</w:t>
      </w:r>
      <w:r>
        <w:rPr>
          <w:rFonts w:hint="eastAsia"/>
          <w:color w:val="000000"/>
          <w:lang w:eastAsia="zh-CN"/>
        </w:rPr>
        <w:t>”</w:t>
      </w:r>
      <w:r>
        <w:rPr>
          <w:color w:val="000000"/>
        </w:rPr>
        <w:t>重点项目建设基本要求，满足农村居民生产生活的实际需要，采用经济实用的设计方式，应有效控制项目造价。</w:t>
      </w:r>
    </w:p>
    <w:p w14:paraId="1BCB8ECA">
      <w:pPr>
        <w:adjustRightInd w:val="0"/>
        <w:snapToGrid w:val="0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六、</w:t>
      </w:r>
      <w:r>
        <w:rPr>
          <w:color w:val="000000"/>
        </w:rPr>
        <w:t>科学方面：体现科学规划、精准施策的原则，注重现状分析和科学决策，确保规划实施的可行性和有效性。对规划区域有深入调研，充分了解当地资源禀赋、产业特色等关键要素，能够展示规划实施的可操作性、精细化水平。</w:t>
      </w:r>
    </w:p>
    <w:p w14:paraId="0E20F614">
      <w:pPr>
        <w:adjustRightInd w:val="0"/>
        <w:snapToGrid w:val="0"/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/>
          <w:color w:val="000000"/>
          <w:lang w:eastAsia="zh-CN"/>
        </w:rPr>
        <w:t>七、</w:t>
      </w:r>
      <w:r>
        <w:rPr>
          <w:color w:val="000000"/>
        </w:rPr>
        <w:t>创意方面：发挥创新思维，提出富有创意的规划设计，以及具有前瞻性和创新性的规划理念。打破传统规划模式的束缚，注重多元融合和创意引领，探索乡村发展的新路径和新模式，让乡村激发新的生机与活力。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F3448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E9FF758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3Mjk4NjkzOGM1M2JkYzQ4MTVmMWE3NTg0NzAwYjAifQ=="/>
  </w:docVars>
  <w:rsids>
    <w:rsidRoot w:val="008E37D7"/>
    <w:rsid w:val="007433C9"/>
    <w:rsid w:val="008E37D7"/>
    <w:rsid w:val="00E54EDE"/>
    <w:rsid w:val="00EF4EB2"/>
    <w:rsid w:val="01A254BC"/>
    <w:rsid w:val="3E5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Times New Roman" w:hAnsi="Times New Roman" w:eastAsia="华康简标题宋" w:cs="Times New Roman"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1029</Characters>
  <Lines>7</Lines>
  <Paragraphs>2</Paragraphs>
  <TotalTime>2</TotalTime>
  <ScaleCrop>false</ScaleCrop>
  <LinksUpToDate>false</LinksUpToDate>
  <CharactersWithSpaces>1030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2024-07-08T10:12:00Z</dcterms:created>
  <dc:creator>邹书源(null)</dc:creator>
  <cp:lastModifiedBy>Weng</cp:lastModifiedBy>
  <dcterms:modified xsi:type="dcterms:W3CDTF">2024-07-18T01:07:09Z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03CAEE7C0C734FFFA8C288BCEBA253D3_12</vt:lpwstr>
  </property>
</Properties>
</file>